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198" w:rsidRDefault="002707DA" w:rsidP="004D0B9A">
      <w:pPr>
        <w:keepNext/>
        <w:spacing w:before="240" w:line="240" w:lineRule="auto"/>
        <w:ind w:left="2" w:hanging="4"/>
        <w:jc w:val="center"/>
        <w:rPr>
          <w:rFonts w:ascii="Bookman Old Style" w:eastAsia="Bookman Old Style" w:hAnsi="Bookman Old Style" w:cs="Bookman Old Style"/>
          <w:b/>
          <w:sz w:val="44"/>
          <w:szCs w:val="44"/>
        </w:rPr>
      </w:pPr>
      <w:bookmarkStart w:id="0" w:name="_GoBack"/>
      <w:bookmarkEnd w:id="0"/>
      <w:r>
        <w:rPr>
          <w:rFonts w:ascii="Bookman Old Style" w:eastAsia="Bookman Old Style" w:hAnsi="Bookman Old Style" w:cs="Bookman Old Style"/>
          <w:b/>
          <w:noProof/>
          <w:sz w:val="44"/>
          <w:szCs w:val="44"/>
        </w:rPr>
        <w:drawing>
          <wp:inline distT="0" distB="0" distL="114300" distR="114300">
            <wp:extent cx="461645" cy="460375"/>
            <wp:effectExtent l="0" t="0" r="0" b="0"/>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61645" cy="460375"/>
                    </a:xfrm>
                    <a:prstGeom prst="rect">
                      <a:avLst/>
                    </a:prstGeom>
                    <a:ln/>
                  </pic:spPr>
                </pic:pic>
              </a:graphicData>
            </a:graphic>
          </wp:inline>
        </w:drawing>
      </w:r>
    </w:p>
    <w:p w:rsidR="006F5198" w:rsidRDefault="002707DA" w:rsidP="004D0B9A">
      <w:pPr>
        <w:keepNext/>
        <w:spacing w:after="60" w:line="240" w:lineRule="auto"/>
        <w:ind w:left="2" w:hanging="4"/>
        <w:jc w:val="center"/>
        <w:rPr>
          <w:rFonts w:ascii="Bookman Old Style" w:eastAsia="Bookman Old Style" w:hAnsi="Bookman Old Style" w:cs="Bookman Old Style"/>
          <w:b/>
          <w:sz w:val="40"/>
          <w:szCs w:val="40"/>
        </w:rPr>
      </w:pPr>
      <w:r>
        <w:rPr>
          <w:rFonts w:ascii="Bookman Old Style" w:eastAsia="Bookman Old Style" w:hAnsi="Bookman Old Style" w:cs="Bookman Old Style"/>
          <w:b/>
          <w:smallCaps/>
          <w:sz w:val="40"/>
          <w:szCs w:val="40"/>
        </w:rPr>
        <w:t>Tribunale di Napoli</w:t>
      </w:r>
    </w:p>
    <w:p w:rsidR="006F5198" w:rsidRDefault="002707DA" w:rsidP="004D0B9A">
      <w:pPr>
        <w:pBdr>
          <w:bottom w:val="single" w:sz="12" w:space="1" w:color="000000"/>
        </w:pBdr>
        <w:spacing w:line="360" w:lineRule="auto"/>
        <w:ind w:left="1" w:hanging="3"/>
        <w:jc w:val="center"/>
        <w:rPr>
          <w:rFonts w:ascii="Bookman Old Style" w:eastAsia="Bookman Old Style" w:hAnsi="Bookman Old Style" w:cs="Bookman Old Style"/>
          <w:sz w:val="28"/>
          <w:szCs w:val="28"/>
        </w:rPr>
      </w:pPr>
      <w:r>
        <w:rPr>
          <w:rFonts w:ascii="Bookman Old Style" w:eastAsia="Bookman Old Style" w:hAnsi="Bookman Old Style" w:cs="Bookman Old Style"/>
          <w:b/>
          <w:smallCaps/>
          <w:sz w:val="28"/>
          <w:szCs w:val="28"/>
        </w:rPr>
        <w:t>Esecuzioni Immobiliari</w:t>
      </w:r>
    </w:p>
    <w:p w:rsidR="006F5198" w:rsidRDefault="002707DA" w:rsidP="004D0B9A">
      <w:pPr>
        <w:spacing w:line="360" w:lineRule="auto"/>
        <w:ind w:left="0" w:hanging="2"/>
        <w:jc w:val="center"/>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PROCEDIMENTO n. $$</w:t>
      </w:r>
      <w:proofErr w:type="spellStart"/>
      <w:r>
        <w:rPr>
          <w:rFonts w:ascii="Bookman Old Style" w:eastAsia="Bookman Old Style" w:hAnsi="Bookman Old Style" w:cs="Bookman Old Style"/>
          <w:b/>
          <w:sz w:val="20"/>
          <w:szCs w:val="20"/>
        </w:rPr>
        <w:t>numero_ruolo</w:t>
      </w:r>
      <w:proofErr w:type="spellEnd"/>
      <w:r>
        <w:rPr>
          <w:rFonts w:ascii="Bookman Old Style" w:eastAsia="Bookman Old Style" w:hAnsi="Bookman Old Style" w:cs="Bookman Old Style"/>
          <w:b/>
          <w:sz w:val="20"/>
          <w:szCs w:val="20"/>
        </w:rPr>
        <w:t>$$/$$</w:t>
      </w:r>
      <w:proofErr w:type="spellStart"/>
      <w:r>
        <w:rPr>
          <w:rFonts w:ascii="Bookman Old Style" w:eastAsia="Bookman Old Style" w:hAnsi="Bookman Old Style" w:cs="Bookman Old Style"/>
          <w:b/>
          <w:sz w:val="20"/>
          <w:szCs w:val="20"/>
        </w:rPr>
        <w:t>anno_ruolo</w:t>
      </w:r>
      <w:proofErr w:type="spellEnd"/>
      <w:r>
        <w:rPr>
          <w:rFonts w:ascii="Bookman Old Style" w:eastAsia="Bookman Old Style" w:hAnsi="Bookman Old Style" w:cs="Bookman Old Style"/>
          <w:b/>
          <w:sz w:val="20"/>
          <w:szCs w:val="20"/>
        </w:rPr>
        <w:t>$$ R.G.E.</w:t>
      </w:r>
    </w:p>
    <w:p w:rsidR="006F5198" w:rsidRDefault="002707DA" w:rsidP="004D0B9A">
      <w:pPr>
        <w:spacing w:line="360" w:lineRule="auto"/>
        <w:ind w:left="0" w:hanging="2"/>
        <w:jc w:val="both"/>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Modello di vendita telematica asincrona con il sistema dell’unica offerta segreta in aumento</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Il giudice dell’esecuzione, dott. $$</w:t>
      </w:r>
      <w:proofErr w:type="spellStart"/>
      <w:r>
        <w:rPr>
          <w:rFonts w:ascii="Bookman Old Style" w:eastAsia="Bookman Old Style" w:hAnsi="Bookman Old Style" w:cs="Bookman Old Style"/>
          <w:sz w:val="18"/>
          <w:szCs w:val="18"/>
        </w:rPr>
        <w:t>nome_giudice</w:t>
      </w:r>
      <w:proofErr w:type="spellEnd"/>
      <w:r>
        <w:rPr>
          <w:rFonts w:ascii="Bookman Old Style" w:eastAsia="Bookman Old Style" w:hAnsi="Bookman Old Style" w:cs="Bookman Old Style"/>
          <w:sz w:val="18"/>
          <w:szCs w:val="18"/>
        </w:rPr>
        <w:t>$$ $$</w:t>
      </w:r>
      <w:proofErr w:type="spellStart"/>
      <w:r>
        <w:rPr>
          <w:rFonts w:ascii="Bookman Old Style" w:eastAsia="Bookman Old Style" w:hAnsi="Bookman Old Style" w:cs="Bookman Old Style"/>
          <w:sz w:val="18"/>
          <w:szCs w:val="18"/>
        </w:rPr>
        <w:t>cognome_giudice</w:t>
      </w:r>
      <w:proofErr w:type="spellEnd"/>
      <w:r>
        <w:rPr>
          <w:rFonts w:ascii="Bookman Old Style" w:eastAsia="Bookman Old Style" w:hAnsi="Bookman Old Style" w:cs="Bookman Old Style"/>
          <w:sz w:val="18"/>
          <w:szCs w:val="18"/>
        </w:rPr>
        <w:t>$$,</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letti gli atti della procedura esecutiva sopra indicata;</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considerato che, sulla scorta della documentazione, in atti sussistono i presupposti per autorizzare la vendita del compendio pignorato;</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che, nel caso di specie, non sono emersi elementi tali da far ritenere che la vendita con le modalità dell’in</w:t>
      </w:r>
      <w:r>
        <w:rPr>
          <w:rFonts w:ascii="Bookman Old Style" w:eastAsia="Bookman Old Style" w:hAnsi="Bookman Old Style" w:cs="Bookman Old Style"/>
          <w:sz w:val="18"/>
          <w:szCs w:val="18"/>
        </w:rPr>
        <w:t xml:space="preserve">canto possa far conseguire un prezzo superiore della metà rispetto al valore del bene determinato a norma dell’art. 568 </w:t>
      </w:r>
      <w:proofErr w:type="spellStart"/>
      <w:r>
        <w:rPr>
          <w:rFonts w:ascii="Bookman Old Style" w:eastAsia="Bookman Old Style" w:hAnsi="Bookman Old Style" w:cs="Bookman Old Style"/>
          <w:sz w:val="18"/>
          <w:szCs w:val="18"/>
        </w:rPr>
        <w:t>c.p.c.</w:t>
      </w:r>
      <w:proofErr w:type="spellEnd"/>
      <w:r>
        <w:rPr>
          <w:rFonts w:ascii="Bookman Old Style" w:eastAsia="Bookman Old Style" w:hAnsi="Bookman Old Style" w:cs="Bookman Old Style"/>
          <w:sz w:val="18"/>
          <w:szCs w:val="18"/>
        </w:rPr>
        <w:t xml:space="preserve">; </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ritenuto che sussistono conseguentemente i presupposti per disporre che la vendita abbia luogo unicamente nelle forme di c</w:t>
      </w:r>
      <w:r>
        <w:rPr>
          <w:rFonts w:ascii="Bookman Old Style" w:eastAsia="Bookman Old Style" w:hAnsi="Bookman Old Style" w:cs="Bookman Old Style"/>
          <w:sz w:val="18"/>
          <w:szCs w:val="18"/>
        </w:rPr>
        <w:t xml:space="preserve">ui agli artt. 571, 572, 573 e 574 </w:t>
      </w:r>
      <w:proofErr w:type="spellStart"/>
      <w:r>
        <w:rPr>
          <w:rFonts w:ascii="Bookman Old Style" w:eastAsia="Bookman Old Style" w:hAnsi="Bookman Old Style" w:cs="Bookman Old Style"/>
          <w:sz w:val="18"/>
          <w:szCs w:val="18"/>
        </w:rPr>
        <w:t>c.p.c.</w:t>
      </w:r>
      <w:proofErr w:type="spellEnd"/>
      <w:r>
        <w:rPr>
          <w:rFonts w:ascii="Bookman Old Style" w:eastAsia="Bookman Old Style" w:hAnsi="Bookman Old Style" w:cs="Bookman Old Style"/>
          <w:sz w:val="18"/>
          <w:szCs w:val="18"/>
        </w:rPr>
        <w:t xml:space="preserve"> e con delega delle relative operazioni ex art. 591-bis </w:t>
      </w:r>
      <w:proofErr w:type="spellStart"/>
      <w:r>
        <w:rPr>
          <w:rFonts w:ascii="Bookman Old Style" w:eastAsia="Bookman Old Style" w:hAnsi="Bookman Old Style" w:cs="Bookman Old Style"/>
          <w:sz w:val="18"/>
          <w:szCs w:val="18"/>
        </w:rPr>
        <w:t>c.p.c.</w:t>
      </w:r>
      <w:proofErr w:type="spellEnd"/>
      <w:r>
        <w:rPr>
          <w:rFonts w:ascii="Bookman Old Style" w:eastAsia="Bookman Old Style" w:hAnsi="Bookman Old Style" w:cs="Bookman Old Style"/>
          <w:sz w:val="18"/>
          <w:szCs w:val="18"/>
        </w:rPr>
        <w:t xml:space="preserve"> e sussistono altresì i presupposti per disporre che la vendita abbia luogo con modalità telematiche (segnatamente, vendita senza incanto con eventuale ga</w:t>
      </w:r>
      <w:r>
        <w:rPr>
          <w:rFonts w:ascii="Bookman Old Style" w:eastAsia="Bookman Old Style" w:hAnsi="Bookman Old Style" w:cs="Bookman Old Style"/>
          <w:sz w:val="18"/>
          <w:szCs w:val="18"/>
        </w:rPr>
        <w:t xml:space="preserve">ra in modalità asincrona) e nel rispetto della normativa regolamentare di cui all’art. 161-ter </w:t>
      </w:r>
      <w:proofErr w:type="spellStart"/>
      <w:r>
        <w:rPr>
          <w:rFonts w:ascii="Bookman Old Style" w:eastAsia="Bookman Old Style" w:hAnsi="Bookman Old Style" w:cs="Bookman Old Style"/>
          <w:sz w:val="18"/>
          <w:szCs w:val="18"/>
        </w:rPr>
        <w:t>disp</w:t>
      </w:r>
      <w:proofErr w:type="spellEnd"/>
      <w:r>
        <w:rPr>
          <w:rFonts w:ascii="Bookman Old Style" w:eastAsia="Bookman Old Style" w:hAnsi="Bookman Old Style" w:cs="Bookman Old Style"/>
          <w:sz w:val="18"/>
          <w:szCs w:val="18"/>
        </w:rPr>
        <w:t xml:space="preserve">. </w:t>
      </w:r>
      <w:proofErr w:type="spellStart"/>
      <w:r>
        <w:rPr>
          <w:rFonts w:ascii="Bookman Old Style" w:eastAsia="Bookman Old Style" w:hAnsi="Bookman Old Style" w:cs="Bookman Old Style"/>
          <w:sz w:val="18"/>
          <w:szCs w:val="18"/>
        </w:rPr>
        <w:t>att</w:t>
      </w:r>
      <w:proofErr w:type="spellEnd"/>
      <w:r>
        <w:rPr>
          <w:rFonts w:ascii="Bookman Old Style" w:eastAsia="Bookman Old Style" w:hAnsi="Bookman Old Style" w:cs="Bookman Old Style"/>
          <w:sz w:val="18"/>
          <w:szCs w:val="18"/>
        </w:rPr>
        <w:t xml:space="preserve">. </w:t>
      </w:r>
      <w:proofErr w:type="spellStart"/>
      <w:r>
        <w:rPr>
          <w:rFonts w:ascii="Bookman Old Style" w:eastAsia="Bookman Old Style" w:hAnsi="Bookman Old Style" w:cs="Bookman Old Style"/>
          <w:sz w:val="18"/>
          <w:szCs w:val="18"/>
        </w:rPr>
        <w:t>c.p.c.</w:t>
      </w:r>
      <w:proofErr w:type="spellEnd"/>
      <w:r>
        <w:rPr>
          <w:rFonts w:ascii="Bookman Old Style" w:eastAsia="Bookman Old Style" w:hAnsi="Bookman Old Style" w:cs="Bookman Old Style"/>
          <w:sz w:val="18"/>
          <w:szCs w:val="18"/>
        </w:rPr>
        <w:t xml:space="preserve"> di cui al decreto del Ministro della Giustizia 26 febbraio 2015, n. 32;</w:t>
      </w:r>
    </w:p>
    <w:p w:rsidR="006F5198" w:rsidRDefault="002707DA" w:rsidP="004D0B9A">
      <w:pPr>
        <w:widowControl w:val="0"/>
        <w:spacing w:line="360" w:lineRule="auto"/>
        <w:ind w:left="0" w:hanging="2"/>
        <w:jc w:val="center"/>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P.Q.M.</w:t>
      </w:r>
    </w:p>
    <w:p w:rsidR="006F5198" w:rsidRDefault="002707DA" w:rsidP="004D0B9A">
      <w:pPr>
        <w:widowControl w:val="0"/>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Letti gli artt. 569 e 591-bis </w:t>
      </w:r>
      <w:proofErr w:type="spellStart"/>
      <w:r>
        <w:rPr>
          <w:rFonts w:ascii="Bookman Old Style" w:eastAsia="Bookman Old Style" w:hAnsi="Bookman Old Style" w:cs="Bookman Old Style"/>
          <w:sz w:val="18"/>
          <w:szCs w:val="18"/>
        </w:rPr>
        <w:t>c.p.c.</w:t>
      </w:r>
      <w:proofErr w:type="spellEnd"/>
    </w:p>
    <w:p w:rsidR="006F5198" w:rsidRDefault="002707DA" w:rsidP="004D0B9A">
      <w:pPr>
        <w:widowControl w:val="0"/>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AUTORIZZA</w:t>
      </w:r>
      <w:r>
        <w:rPr>
          <w:rFonts w:ascii="Bookman Old Style" w:eastAsia="Bookman Old Style" w:hAnsi="Bookman Old Style" w:cs="Bookman Old Style"/>
          <w:sz w:val="18"/>
          <w:szCs w:val="18"/>
        </w:rPr>
        <w:t xml:space="preserve"> la vend</w:t>
      </w:r>
      <w:r>
        <w:rPr>
          <w:rFonts w:ascii="Bookman Old Style" w:eastAsia="Bookman Old Style" w:hAnsi="Bookman Old Style" w:cs="Bookman Old Style"/>
          <w:sz w:val="18"/>
          <w:szCs w:val="18"/>
        </w:rPr>
        <w:t>ita del compendio pignorato nei termini di seguito indicati.</w:t>
      </w:r>
    </w:p>
    <w:p w:rsidR="006F5198" w:rsidRDefault="002707DA" w:rsidP="004D0B9A">
      <w:pPr>
        <w:widowControl w:val="0"/>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DELEGA</w:t>
      </w:r>
      <w:r>
        <w:rPr>
          <w:rFonts w:ascii="Bookman Old Style" w:eastAsia="Bookman Old Style" w:hAnsi="Bookman Old Style" w:cs="Bookman Old Style"/>
          <w:sz w:val="18"/>
          <w:szCs w:val="18"/>
        </w:rPr>
        <w:t xml:space="preserve"> il professionista di seguito indicato:</w:t>
      </w:r>
    </w:p>
    <w:p w:rsidR="006F5198" w:rsidRDefault="002707DA" w:rsidP="004D0B9A">
      <w:pPr>
        <w:widowControl w:val="0"/>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il/la dott./dott.ssa $$</w:t>
      </w:r>
      <w:proofErr w:type="spellStart"/>
      <w:r>
        <w:rPr>
          <w:rFonts w:ascii="Bookman Old Style" w:eastAsia="Bookman Old Style" w:hAnsi="Bookman Old Style" w:cs="Bookman Old Style"/>
          <w:sz w:val="18"/>
          <w:szCs w:val="18"/>
        </w:rPr>
        <w:t>nome_delegato</w:t>
      </w:r>
      <w:proofErr w:type="spellEnd"/>
      <w:r>
        <w:rPr>
          <w:rFonts w:ascii="Bookman Old Style" w:eastAsia="Bookman Old Style" w:hAnsi="Bookman Old Style" w:cs="Bookman Old Style"/>
          <w:sz w:val="18"/>
          <w:szCs w:val="18"/>
        </w:rPr>
        <w:t>$$ $$</w:t>
      </w:r>
      <w:proofErr w:type="spellStart"/>
      <w:r>
        <w:rPr>
          <w:rFonts w:ascii="Bookman Old Style" w:eastAsia="Bookman Old Style" w:hAnsi="Bookman Old Style" w:cs="Bookman Old Style"/>
          <w:sz w:val="18"/>
          <w:szCs w:val="18"/>
        </w:rPr>
        <w:t>cognome_delegato</w:t>
      </w:r>
      <w:proofErr w:type="spellEnd"/>
      <w:r>
        <w:rPr>
          <w:rFonts w:ascii="Bookman Old Style" w:eastAsia="Bookman Old Style" w:hAnsi="Bookman Old Style" w:cs="Bookman Old Style"/>
          <w:sz w:val="18"/>
          <w:szCs w:val="18"/>
        </w:rPr>
        <w:t>$$</w:t>
      </w:r>
    </w:p>
    <w:p w:rsidR="006F5198" w:rsidRDefault="002707DA" w:rsidP="004D0B9A">
      <w:pPr>
        <w:widowControl w:val="0"/>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Codice Fiscale $$</w:t>
      </w:r>
      <w:proofErr w:type="spellStart"/>
      <w:r>
        <w:rPr>
          <w:rFonts w:ascii="Bookman Old Style" w:eastAsia="Bookman Old Style" w:hAnsi="Bookman Old Style" w:cs="Bookman Old Style"/>
          <w:sz w:val="18"/>
          <w:szCs w:val="18"/>
        </w:rPr>
        <w:t>codice_fiscale_delegato</w:t>
      </w:r>
      <w:proofErr w:type="spellEnd"/>
      <w:r>
        <w:rPr>
          <w:rFonts w:ascii="Bookman Old Style" w:eastAsia="Bookman Old Style" w:hAnsi="Bookman Old Style" w:cs="Bookman Old Style"/>
          <w:sz w:val="18"/>
          <w:szCs w:val="18"/>
        </w:rPr>
        <w:t>$$</w:t>
      </w:r>
    </w:p>
    <w:p w:rsidR="006F5198" w:rsidRDefault="006F5198" w:rsidP="004D0B9A">
      <w:pPr>
        <w:widowControl w:val="0"/>
        <w:spacing w:line="360" w:lineRule="auto"/>
        <w:ind w:left="0" w:hanging="2"/>
        <w:jc w:val="both"/>
        <w:rPr>
          <w:rFonts w:ascii="Bookman Old Style" w:eastAsia="Bookman Old Style" w:hAnsi="Bookman Old Style" w:cs="Bookman Old Style"/>
          <w:sz w:val="18"/>
          <w:szCs w:val="18"/>
        </w:rPr>
      </w:pPr>
    </w:p>
    <w:p w:rsidR="006F5198" w:rsidRDefault="002707DA" w:rsidP="004D0B9A">
      <w:pPr>
        <w:widowControl w:val="0"/>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FISSA</w:t>
      </w:r>
      <w:r>
        <w:rPr>
          <w:rFonts w:ascii="Bookman Old Style" w:eastAsia="Bookman Old Style" w:hAnsi="Bookman Old Style" w:cs="Bookman Old Style"/>
          <w:sz w:val="18"/>
          <w:szCs w:val="18"/>
        </w:rPr>
        <w:t xml:space="preserve"> le seguenti condizioni generali per l’espletamento delle operazioni delegate al professionista:</w:t>
      </w:r>
    </w:p>
    <w:p w:rsidR="006F5198" w:rsidRDefault="002707DA" w:rsidP="004D0B9A">
      <w:pPr>
        <w:widowControl w:val="0"/>
        <w:numPr>
          <w:ilvl w:val="0"/>
          <w:numId w:val="8"/>
        </w:numPr>
        <w:spacing w:line="360" w:lineRule="auto"/>
        <w:ind w:left="0" w:hanging="2"/>
        <w:contextualSpacing/>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u w:val="single"/>
        </w:rPr>
        <w:t>DESCRIZIONE LOTTO</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DISPONE </w:t>
      </w:r>
      <w:r>
        <w:rPr>
          <w:rFonts w:ascii="Bookman Old Style" w:eastAsia="Bookman Old Style" w:hAnsi="Bookman Old Style" w:cs="Bookman Old Style"/>
          <w:sz w:val="18"/>
          <w:szCs w:val="18"/>
        </w:rPr>
        <w:t xml:space="preserve">la vendita del/i bene/i pignorato/i nei termini di seguito indicati: </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LOTTO UNICO: piena ed intera proprietà di immobile in</w:t>
      </w:r>
      <w:r>
        <w:rPr>
          <w:rFonts w:ascii="Bookman Old Style" w:eastAsia="Bookman Old Style" w:hAnsi="Bookman Old Style" w:cs="Bookman Old Style"/>
          <w:sz w:val="18"/>
          <w:szCs w:val="18"/>
        </w:rPr>
        <w:t xml:space="preserve">, identificato in C.F./C.T. al foglio, </w:t>
      </w:r>
      <w:proofErr w:type="spellStart"/>
      <w:r>
        <w:rPr>
          <w:rFonts w:ascii="Bookman Old Style" w:eastAsia="Bookman Old Style" w:hAnsi="Bookman Old Style" w:cs="Bookman Old Style"/>
          <w:sz w:val="18"/>
          <w:szCs w:val="18"/>
        </w:rPr>
        <w:t>p.lla</w:t>
      </w:r>
      <w:proofErr w:type="spellEnd"/>
      <w:r>
        <w:rPr>
          <w:rFonts w:ascii="Bookman Old Style" w:eastAsia="Bookman Old Style" w:hAnsi="Bookman Old Style" w:cs="Bookman Old Style"/>
          <w:sz w:val="18"/>
          <w:szCs w:val="18"/>
        </w:rPr>
        <w:t>, sub;</w:t>
      </w:r>
    </w:p>
    <w:p w:rsidR="006F5198" w:rsidRDefault="002707DA" w:rsidP="004D0B9A">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z w:val="18"/>
          <w:szCs w:val="18"/>
          <w:u w:val="single"/>
        </w:rPr>
        <w:t>VALORE D’ASTA/PREZZO DI RIFERIMENTO: EURO;</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z w:val="18"/>
          <w:szCs w:val="18"/>
          <w:u w:val="single"/>
        </w:rPr>
        <w:t>OFFERTA MINIMA: EURO ;</w:t>
      </w:r>
      <w:r>
        <w:rPr>
          <w:rFonts w:ascii="Bookman Old Style" w:eastAsia="Bookman Old Style" w:hAnsi="Bookman Old Style" w:cs="Bookman Old Style"/>
          <w:sz w:val="18"/>
          <w:szCs w:val="18"/>
        </w:rPr>
        <w:t xml:space="preserve"> </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bene/i meglio identificato/i nella relazione di stima e relativi allegati a firma dell’esperto stimatore.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AUTORIZZA </w:t>
      </w:r>
      <w:r>
        <w:rPr>
          <w:rFonts w:ascii="Bookman Old Style" w:eastAsia="Bookman Old Style" w:hAnsi="Bookman Old Style" w:cs="Bookman Old Style"/>
          <w:sz w:val="18"/>
          <w:szCs w:val="18"/>
        </w:rPr>
        <w:t xml:space="preserve">il professionista delegato ad avvalersi dell’ausilio dell’esperto nominato ex art. 568 </w:t>
      </w:r>
      <w:proofErr w:type="spellStart"/>
      <w:r>
        <w:rPr>
          <w:rFonts w:ascii="Bookman Old Style" w:eastAsia="Bookman Old Style" w:hAnsi="Bookman Old Style" w:cs="Bookman Old Style"/>
          <w:sz w:val="18"/>
          <w:szCs w:val="18"/>
        </w:rPr>
        <w:t>c.p.c.</w:t>
      </w:r>
      <w:proofErr w:type="spellEnd"/>
      <w:r>
        <w:rPr>
          <w:rFonts w:ascii="Bookman Old Style" w:eastAsia="Bookman Old Style" w:hAnsi="Bookman Old Style" w:cs="Bookman Old Style"/>
          <w:sz w:val="18"/>
          <w:szCs w:val="18"/>
        </w:rPr>
        <w:t xml:space="preserve"> per eventuali chiarimenti ai fini della descrizione materiale del/i lotto/i da inserirsi nell’avviso di vendita da predisporsi.</w:t>
      </w:r>
    </w:p>
    <w:p w:rsidR="006F5198" w:rsidRDefault="006F5198" w:rsidP="004D0B9A">
      <w:pPr>
        <w:spacing w:line="360" w:lineRule="auto"/>
        <w:ind w:left="0" w:hanging="2"/>
        <w:jc w:val="both"/>
        <w:rPr>
          <w:rFonts w:ascii="Bookman Old Style" w:eastAsia="Bookman Old Style" w:hAnsi="Bookman Old Style" w:cs="Bookman Old Style"/>
          <w:sz w:val="18"/>
          <w:szCs w:val="18"/>
        </w:rPr>
      </w:pPr>
    </w:p>
    <w:p w:rsidR="006F5198" w:rsidRDefault="002707DA" w:rsidP="004D0B9A">
      <w:pPr>
        <w:numPr>
          <w:ilvl w:val="0"/>
          <w:numId w:val="8"/>
        </w:numPr>
        <w:spacing w:line="360" w:lineRule="auto"/>
        <w:ind w:left="0" w:hanging="2"/>
        <w:contextualSpacing/>
        <w:jc w:val="both"/>
        <w:rPr>
          <w:rFonts w:ascii="Bookman Old Style" w:eastAsia="Bookman Old Style" w:hAnsi="Bookman Old Style" w:cs="Bookman Old Style"/>
          <w:sz w:val="18"/>
          <w:szCs w:val="18"/>
          <w:u w:val="single"/>
        </w:rPr>
      </w:pPr>
      <w:bookmarkStart w:id="1" w:name="_gjdgxs" w:colFirst="0" w:colLast="0"/>
      <w:bookmarkEnd w:id="1"/>
      <w:r>
        <w:rPr>
          <w:rFonts w:ascii="Bookman Old Style" w:eastAsia="Bookman Old Style" w:hAnsi="Bookman Old Style" w:cs="Bookman Old Style"/>
          <w:b/>
          <w:sz w:val="18"/>
          <w:szCs w:val="18"/>
          <w:u w:val="single"/>
        </w:rPr>
        <w:t>SPESE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DETERMINA </w:t>
      </w:r>
      <w:r>
        <w:rPr>
          <w:rFonts w:ascii="Bookman Old Style" w:eastAsia="Bookman Old Style" w:hAnsi="Bookman Old Style" w:cs="Bookman Old Style"/>
          <w:sz w:val="18"/>
          <w:szCs w:val="18"/>
        </w:rPr>
        <w:t>in favore de</w:t>
      </w:r>
      <w:r>
        <w:rPr>
          <w:rFonts w:ascii="Bookman Old Style" w:eastAsia="Bookman Old Style" w:hAnsi="Bookman Old Style" w:cs="Bookman Old Style"/>
          <w:sz w:val="18"/>
          <w:szCs w:val="18"/>
        </w:rPr>
        <w:t>l professionista delegato:</w:t>
      </w:r>
    </w:p>
    <w:p w:rsidR="006F5198" w:rsidRDefault="002707DA" w:rsidP="004D0B9A">
      <w:pPr>
        <w:numPr>
          <w:ilvl w:val="0"/>
          <w:numId w:val="4"/>
        </w:numPr>
        <w:spacing w:line="360" w:lineRule="auto"/>
        <w:ind w:left="0" w:hanging="2"/>
        <w:contextualSpacing/>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anticipo sul compenso</w:t>
      </w:r>
      <w:r>
        <w:rPr>
          <w:rFonts w:ascii="Bookman Old Style" w:eastAsia="Bookman Old Style" w:hAnsi="Bookman Old Style" w:cs="Bookman Old Style"/>
          <w:sz w:val="18"/>
          <w:szCs w:val="18"/>
        </w:rPr>
        <w:t xml:space="preserve"> in misura pari ad </w:t>
      </w:r>
      <w:r>
        <w:rPr>
          <w:rFonts w:ascii="Bookman Old Style" w:eastAsia="Bookman Old Style" w:hAnsi="Bookman Old Style" w:cs="Bookman Old Style"/>
          <w:b/>
          <w:sz w:val="18"/>
          <w:szCs w:val="18"/>
        </w:rPr>
        <w:t>euro 1.000,00</w:t>
      </w:r>
      <w:r>
        <w:rPr>
          <w:rFonts w:ascii="Bookman Old Style" w:eastAsia="Bookman Old Style" w:hAnsi="Bookman Old Style" w:cs="Bookman Old Style"/>
          <w:sz w:val="18"/>
          <w:szCs w:val="18"/>
        </w:rPr>
        <w:t>, oltre oneri di legge ed oltre un’eventuale quota di spese per i costi di apertura del conto corrente della procedura;</w:t>
      </w:r>
    </w:p>
    <w:p w:rsidR="006F5198" w:rsidRDefault="002707DA" w:rsidP="004D0B9A">
      <w:pPr>
        <w:numPr>
          <w:ilvl w:val="0"/>
          <w:numId w:val="4"/>
        </w:numPr>
        <w:spacing w:line="360" w:lineRule="auto"/>
        <w:ind w:left="0" w:hanging="2"/>
        <w:contextualSpacing/>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lastRenderedPageBreak/>
        <w:t xml:space="preserve">fondo spese </w:t>
      </w:r>
      <w:r>
        <w:rPr>
          <w:rFonts w:ascii="Bookman Old Style" w:eastAsia="Bookman Old Style" w:hAnsi="Bookman Old Style" w:cs="Bookman Old Style"/>
          <w:sz w:val="18"/>
          <w:szCs w:val="18"/>
        </w:rPr>
        <w:t>per il pagamento della pubblicità ex art. 49</w:t>
      </w:r>
      <w:r>
        <w:rPr>
          <w:rFonts w:ascii="Bookman Old Style" w:eastAsia="Bookman Old Style" w:hAnsi="Bookman Old Style" w:cs="Bookman Old Style"/>
          <w:sz w:val="18"/>
          <w:szCs w:val="18"/>
        </w:rPr>
        <w:t xml:space="preserve">0, primo comma, </w:t>
      </w:r>
      <w:proofErr w:type="spellStart"/>
      <w:r>
        <w:rPr>
          <w:rFonts w:ascii="Bookman Old Style" w:eastAsia="Bookman Old Style" w:hAnsi="Bookman Old Style" w:cs="Bookman Old Style"/>
          <w:sz w:val="18"/>
          <w:szCs w:val="18"/>
        </w:rPr>
        <w:t>c.p.c.</w:t>
      </w:r>
      <w:proofErr w:type="spellEnd"/>
      <w:r>
        <w:rPr>
          <w:rFonts w:ascii="Bookman Old Style" w:eastAsia="Bookman Old Style" w:hAnsi="Bookman Old Style" w:cs="Bookman Old Style"/>
          <w:sz w:val="18"/>
          <w:szCs w:val="18"/>
        </w:rPr>
        <w:t xml:space="preserve"> (Portale delle vendite pubbliche) nella misura corrispondente al contributo di cui all’art. 18-bis del D.P.R. n. 115/2002 per ciascun lotto; </w:t>
      </w:r>
    </w:p>
    <w:p w:rsidR="006F5198" w:rsidRDefault="002707DA" w:rsidP="004D0B9A">
      <w:pPr>
        <w:numPr>
          <w:ilvl w:val="0"/>
          <w:numId w:val="4"/>
        </w:numPr>
        <w:spacing w:line="360" w:lineRule="auto"/>
        <w:ind w:left="0" w:hanging="2"/>
        <w:contextualSpacing/>
        <w:jc w:val="both"/>
        <w:rPr>
          <w:rFonts w:ascii="Bookman Old Style" w:eastAsia="Bookman Old Style" w:hAnsi="Bookman Old Style" w:cs="Bookman Old Style"/>
          <w:sz w:val="18"/>
          <w:szCs w:val="18"/>
        </w:rPr>
      </w:pPr>
      <w:bookmarkStart w:id="2" w:name="_30j0zll" w:colFirst="0" w:colLast="0"/>
      <w:bookmarkEnd w:id="2"/>
      <w:r>
        <w:rPr>
          <w:rFonts w:ascii="Bookman Old Style" w:eastAsia="Bookman Old Style" w:hAnsi="Bookman Old Style" w:cs="Bookman Old Style"/>
          <w:b/>
          <w:sz w:val="18"/>
          <w:szCs w:val="18"/>
        </w:rPr>
        <w:t xml:space="preserve">fondo spese </w:t>
      </w:r>
      <w:r>
        <w:rPr>
          <w:rFonts w:ascii="Bookman Old Style" w:eastAsia="Bookman Old Style" w:hAnsi="Bookman Old Style" w:cs="Bookman Old Style"/>
          <w:sz w:val="18"/>
          <w:szCs w:val="18"/>
        </w:rPr>
        <w:t xml:space="preserve">per il pagamento della pubblicità ex art. 490, secondo e terzo comma, </w:t>
      </w:r>
      <w:proofErr w:type="spellStart"/>
      <w:r>
        <w:rPr>
          <w:rFonts w:ascii="Bookman Old Style" w:eastAsia="Bookman Old Style" w:hAnsi="Bookman Old Style" w:cs="Bookman Old Style"/>
          <w:sz w:val="18"/>
          <w:szCs w:val="18"/>
        </w:rPr>
        <w:t>c.p.c.</w:t>
      </w:r>
      <w:proofErr w:type="spellEnd"/>
      <w:r>
        <w:rPr>
          <w:rFonts w:ascii="Bookman Old Style" w:eastAsia="Bookman Old Style" w:hAnsi="Bookman Old Style" w:cs="Bookman Old Style"/>
          <w:sz w:val="18"/>
          <w:szCs w:val="18"/>
        </w:rPr>
        <w:t xml:space="preserve"> (i</w:t>
      </w:r>
      <w:r>
        <w:rPr>
          <w:rFonts w:ascii="Bookman Old Style" w:eastAsia="Bookman Old Style" w:hAnsi="Bookman Old Style" w:cs="Bookman Old Style"/>
          <w:sz w:val="18"/>
          <w:szCs w:val="18"/>
        </w:rPr>
        <w:t>nternet; quotidiano; pubblicità commerciale) e delle spese necessarie per la vendita telematica</w:t>
      </w:r>
      <w:r>
        <w:rPr>
          <w:rFonts w:ascii="Bookman Old Style" w:eastAsia="Bookman Old Style" w:hAnsi="Bookman Old Style" w:cs="Bookman Old Style"/>
          <w:b/>
          <w:sz w:val="18"/>
          <w:szCs w:val="18"/>
        </w:rPr>
        <w:t xml:space="preserve"> </w:t>
      </w:r>
      <w:r>
        <w:rPr>
          <w:rFonts w:ascii="Bookman Old Style" w:eastAsia="Bookman Old Style" w:hAnsi="Bookman Old Style" w:cs="Bookman Old Style"/>
          <w:sz w:val="18"/>
          <w:szCs w:val="18"/>
        </w:rPr>
        <w:t xml:space="preserve">(e, in particolare, delle spese di gestione del conto corrente) nella misura di </w:t>
      </w:r>
      <w:r>
        <w:rPr>
          <w:rFonts w:ascii="Bookman Old Style" w:eastAsia="Bookman Old Style" w:hAnsi="Bookman Old Style" w:cs="Bookman Old Style"/>
          <w:b/>
          <w:sz w:val="18"/>
          <w:szCs w:val="18"/>
        </w:rPr>
        <w:t>euro 2.000,00</w:t>
      </w:r>
      <w:r>
        <w:rPr>
          <w:rFonts w:ascii="Bookman Old Style" w:eastAsia="Bookman Old Style" w:hAnsi="Bookman Old Style" w:cs="Bookman Old Style"/>
          <w:sz w:val="18"/>
          <w:szCs w:val="18"/>
        </w:rPr>
        <w:t>.</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r>
        <w:rPr>
          <w:rFonts w:ascii="Bookman Old Style" w:eastAsia="Bookman Old Style" w:hAnsi="Bookman Old Style" w:cs="Bookman Old Style"/>
          <w:sz w:val="18"/>
          <w:szCs w:val="18"/>
        </w:rPr>
        <w:t xml:space="preserve"> che il versamento del </w:t>
      </w:r>
      <w:r>
        <w:rPr>
          <w:rFonts w:ascii="Bookman Old Style" w:eastAsia="Bookman Old Style" w:hAnsi="Bookman Old Style" w:cs="Bookman Old Style"/>
          <w:b/>
          <w:sz w:val="18"/>
          <w:szCs w:val="18"/>
        </w:rPr>
        <w:t>fondo spese</w:t>
      </w:r>
      <w:r>
        <w:rPr>
          <w:rFonts w:ascii="Bookman Old Style" w:eastAsia="Bookman Old Style" w:hAnsi="Bookman Old Style" w:cs="Bookman Old Style"/>
          <w:sz w:val="18"/>
          <w:szCs w:val="18"/>
        </w:rPr>
        <w:t xml:space="preserve"> abbia luogo con le seguenti modalità: </w:t>
      </w:r>
    </w:p>
    <w:p w:rsidR="006F5198" w:rsidRDefault="002707DA" w:rsidP="004D0B9A">
      <w:pPr>
        <w:numPr>
          <w:ilvl w:val="0"/>
          <w:numId w:val="3"/>
        </w:numPr>
        <w:spacing w:line="360" w:lineRule="auto"/>
        <w:ind w:left="0" w:hanging="2"/>
        <w:contextualSpacing/>
        <w:jc w:val="both"/>
        <w:rPr>
          <w:sz w:val="18"/>
          <w:szCs w:val="18"/>
        </w:rPr>
      </w:pPr>
      <w:r>
        <w:rPr>
          <w:rFonts w:ascii="Bookman Old Style" w:eastAsia="Bookman Old Style" w:hAnsi="Bookman Old Style" w:cs="Bookman Old Style"/>
          <w:sz w:val="18"/>
          <w:szCs w:val="18"/>
        </w:rPr>
        <w:t>il professionista è autorizzato all’apertura di conto corrente bancario alle condizioni di seguito indicate nella presente ordinanza e a comunicare a mezzo PEC al creditore procedente richiesta di versamento (con ind</w:t>
      </w:r>
      <w:r>
        <w:rPr>
          <w:rFonts w:ascii="Bookman Old Style" w:eastAsia="Bookman Old Style" w:hAnsi="Bookman Old Style" w:cs="Bookman Old Style"/>
          <w:sz w:val="18"/>
          <w:szCs w:val="18"/>
        </w:rPr>
        <w:t>icazione dell’importo complessivo) e delle coordinate bancarie del conto corrente;</w:t>
      </w:r>
    </w:p>
    <w:p w:rsidR="006F5198" w:rsidRDefault="002707DA" w:rsidP="004D0B9A">
      <w:pPr>
        <w:numPr>
          <w:ilvl w:val="0"/>
          <w:numId w:val="3"/>
        </w:numPr>
        <w:spacing w:line="360" w:lineRule="auto"/>
        <w:ind w:left="0" w:hanging="2"/>
        <w:contextualSpacing/>
        <w:jc w:val="both"/>
        <w:rPr>
          <w:sz w:val="18"/>
          <w:szCs w:val="18"/>
        </w:rPr>
      </w:pPr>
      <w:r>
        <w:rPr>
          <w:rFonts w:ascii="Bookman Old Style" w:eastAsia="Bookman Old Style" w:hAnsi="Bookman Old Style" w:cs="Bookman Old Style"/>
          <w:sz w:val="18"/>
          <w:szCs w:val="18"/>
        </w:rPr>
        <w:t xml:space="preserve">il creditore procedente è obbligato al versamento sul conto corrente entro trenta giorni (30) dalla comunicazione eseguita dal professionista, salvo che – per la pubblicità ex art. 490, secondo e terzo comma, </w:t>
      </w:r>
      <w:proofErr w:type="spellStart"/>
      <w:r>
        <w:rPr>
          <w:rFonts w:ascii="Bookman Old Style" w:eastAsia="Bookman Old Style" w:hAnsi="Bookman Old Style" w:cs="Bookman Old Style"/>
          <w:sz w:val="18"/>
          <w:szCs w:val="18"/>
        </w:rPr>
        <w:t>c.p.c.</w:t>
      </w:r>
      <w:proofErr w:type="spellEnd"/>
      <w:r>
        <w:rPr>
          <w:rFonts w:ascii="Bookman Old Style" w:eastAsia="Bookman Old Style" w:hAnsi="Bookman Old Style" w:cs="Bookman Old Style"/>
          <w:sz w:val="18"/>
          <w:szCs w:val="18"/>
        </w:rPr>
        <w:t xml:space="preserve"> – il pagamento sia assunto ed eseguito d</w:t>
      </w:r>
      <w:r>
        <w:rPr>
          <w:rFonts w:ascii="Bookman Old Style" w:eastAsia="Bookman Old Style" w:hAnsi="Bookman Old Style" w:cs="Bookman Old Style"/>
          <w:sz w:val="18"/>
          <w:szCs w:val="18"/>
        </w:rPr>
        <w:t>irettamente dal creditore;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AUTORIZZA </w:t>
      </w:r>
      <w:r>
        <w:rPr>
          <w:rFonts w:ascii="Bookman Old Style" w:eastAsia="Bookman Old Style" w:hAnsi="Bookman Old Style" w:cs="Bookman Old Style"/>
          <w:sz w:val="18"/>
          <w:szCs w:val="18"/>
        </w:rPr>
        <w:t xml:space="preserve">il professionista ad effettuare il pagamento delle somme dovute per spese di pubblicità mediante prelievo e/o disposizione di bonifico sul conto corrente sopra indicato.   </w:t>
      </w:r>
    </w:p>
    <w:p w:rsidR="006F5198" w:rsidRDefault="006F5198" w:rsidP="004D0B9A">
      <w:pPr>
        <w:spacing w:line="360" w:lineRule="auto"/>
        <w:ind w:left="0" w:hanging="2"/>
        <w:jc w:val="both"/>
        <w:rPr>
          <w:rFonts w:ascii="Bookman Old Style" w:eastAsia="Bookman Old Style" w:hAnsi="Bookman Old Style" w:cs="Bookman Old Style"/>
          <w:sz w:val="18"/>
          <w:szCs w:val="18"/>
        </w:rPr>
      </w:pPr>
    </w:p>
    <w:p w:rsidR="006F5198" w:rsidRDefault="002707DA" w:rsidP="004D0B9A">
      <w:pPr>
        <w:numPr>
          <w:ilvl w:val="0"/>
          <w:numId w:val="8"/>
        </w:numPr>
        <w:spacing w:line="360" w:lineRule="auto"/>
        <w:ind w:left="0" w:hanging="2"/>
        <w:contextualSpacing/>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b/>
          <w:sz w:val="18"/>
          <w:szCs w:val="18"/>
          <w:u w:val="single"/>
        </w:rPr>
        <w:t>TERMINI</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 xml:space="preserve">     DISPONE </w:t>
      </w:r>
      <w:r>
        <w:rPr>
          <w:rFonts w:ascii="Bookman Old Style" w:eastAsia="Bookman Old Style" w:hAnsi="Bookman Old Style" w:cs="Bookman Old Style"/>
          <w:sz w:val="18"/>
          <w:szCs w:val="18"/>
        </w:rPr>
        <w:t>che: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il prof</w:t>
      </w:r>
      <w:r>
        <w:rPr>
          <w:rFonts w:ascii="Bookman Old Style" w:eastAsia="Bookman Old Style" w:hAnsi="Bookman Old Style" w:cs="Bookman Old Style"/>
          <w:sz w:val="18"/>
          <w:szCs w:val="18"/>
        </w:rPr>
        <w:t xml:space="preserve">essionista delegato provveda all’emissione del primo avviso di vendita nel termine di </w:t>
      </w:r>
      <w:r>
        <w:rPr>
          <w:rFonts w:ascii="Bookman Old Style" w:eastAsia="Bookman Old Style" w:hAnsi="Bookman Old Style" w:cs="Bookman Old Style"/>
          <w:b/>
          <w:sz w:val="18"/>
          <w:szCs w:val="18"/>
        </w:rPr>
        <w:t>90 giorni</w:t>
      </w:r>
      <w:r>
        <w:rPr>
          <w:rFonts w:ascii="Bookman Old Style" w:eastAsia="Bookman Old Style" w:hAnsi="Bookman Old Style" w:cs="Bookman Old Style"/>
          <w:sz w:val="18"/>
          <w:szCs w:val="18"/>
        </w:rPr>
        <w:t xml:space="preserve"> dalla data della presente ordinanza;</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in caso di esito positivo dei tentativi di vendita di seguito autorizzati, il professionista delegato provveda alle </w:t>
      </w:r>
      <w:r>
        <w:rPr>
          <w:rFonts w:ascii="Bookman Old Style" w:eastAsia="Bookman Old Style" w:hAnsi="Bookman Old Style" w:cs="Bookman Old Style"/>
          <w:sz w:val="18"/>
          <w:szCs w:val="18"/>
        </w:rPr>
        <w:t xml:space="preserve">operazioni successive nel termine di </w:t>
      </w:r>
      <w:r>
        <w:rPr>
          <w:rFonts w:ascii="Bookman Old Style" w:eastAsia="Bookman Old Style" w:hAnsi="Bookman Old Style" w:cs="Bookman Old Style"/>
          <w:b/>
          <w:sz w:val="18"/>
          <w:szCs w:val="18"/>
        </w:rPr>
        <w:t>180 giorni</w:t>
      </w:r>
      <w:r>
        <w:rPr>
          <w:rFonts w:ascii="Bookman Old Style" w:eastAsia="Bookman Old Style" w:hAnsi="Bookman Old Style" w:cs="Bookman Old Style"/>
          <w:sz w:val="18"/>
          <w:szCs w:val="18"/>
        </w:rPr>
        <w:t xml:space="preserve"> dalla data dell’aggiudicazione;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in caso di esito negativo dei tentativi di vendita di seguito autorizzati, il professionista delegato rimetta gli atti al giudice nel termine massimo di </w:t>
      </w:r>
      <w:r>
        <w:rPr>
          <w:rFonts w:ascii="Bookman Old Style" w:eastAsia="Bookman Old Style" w:hAnsi="Bookman Old Style" w:cs="Bookman Old Style"/>
          <w:b/>
          <w:sz w:val="18"/>
          <w:szCs w:val="18"/>
        </w:rPr>
        <w:t>24 mesi</w:t>
      </w:r>
      <w:r>
        <w:rPr>
          <w:rFonts w:ascii="Bookman Old Style" w:eastAsia="Bookman Old Style" w:hAnsi="Bookman Old Style" w:cs="Bookman Old Style"/>
          <w:sz w:val="18"/>
          <w:szCs w:val="18"/>
        </w:rPr>
        <w:t xml:space="preserve"> dalla da</w:t>
      </w:r>
      <w:r>
        <w:rPr>
          <w:rFonts w:ascii="Bookman Old Style" w:eastAsia="Bookman Old Style" w:hAnsi="Bookman Old Style" w:cs="Bookman Old Style"/>
          <w:sz w:val="18"/>
          <w:szCs w:val="18"/>
        </w:rPr>
        <w:t xml:space="preserve">ta della presente ordinanza. </w:t>
      </w:r>
    </w:p>
    <w:p w:rsidR="006F5198" w:rsidRDefault="006F5198" w:rsidP="004D0B9A">
      <w:pPr>
        <w:spacing w:line="360" w:lineRule="auto"/>
        <w:ind w:left="0" w:hanging="2"/>
        <w:jc w:val="both"/>
        <w:rPr>
          <w:rFonts w:ascii="Bookman Old Style" w:eastAsia="Bookman Old Style" w:hAnsi="Bookman Old Style" w:cs="Bookman Old Style"/>
          <w:sz w:val="18"/>
          <w:szCs w:val="18"/>
        </w:rPr>
      </w:pPr>
    </w:p>
    <w:p w:rsidR="006F5198" w:rsidRDefault="002707DA" w:rsidP="004D0B9A">
      <w:pPr>
        <w:numPr>
          <w:ilvl w:val="0"/>
          <w:numId w:val="8"/>
        </w:numPr>
        <w:spacing w:line="360" w:lineRule="auto"/>
        <w:ind w:left="0" w:hanging="2"/>
        <w:contextualSpacing/>
        <w:jc w:val="both"/>
        <w:rPr>
          <w:rFonts w:ascii="Bookman Old Style" w:eastAsia="Bookman Old Style" w:hAnsi="Bookman Old Style" w:cs="Bookman Old Style"/>
          <w:sz w:val="18"/>
          <w:szCs w:val="18"/>
          <w:u w:val="single"/>
        </w:rPr>
      </w:pPr>
      <w:bookmarkStart w:id="3" w:name="_1fob9te" w:colFirst="0" w:colLast="0"/>
      <w:bookmarkEnd w:id="3"/>
      <w:r>
        <w:rPr>
          <w:rFonts w:ascii="Bookman Old Style" w:eastAsia="Bookman Old Style" w:hAnsi="Bookman Old Style" w:cs="Bookman Old Style"/>
          <w:b/>
          <w:sz w:val="18"/>
          <w:szCs w:val="18"/>
          <w:u w:val="single"/>
        </w:rPr>
        <w:t>CONTROLLI E ADEMPIMENTI</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bookmarkStart w:id="4" w:name="_3znysh7" w:colFirst="0" w:colLast="0"/>
      <w:bookmarkEnd w:id="4"/>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DISPONE </w:t>
      </w:r>
      <w:r>
        <w:rPr>
          <w:rFonts w:ascii="Bookman Old Style" w:eastAsia="Bookman Old Style" w:hAnsi="Bookman Old Style" w:cs="Bookman Old Style"/>
          <w:sz w:val="18"/>
          <w:szCs w:val="18"/>
        </w:rPr>
        <w:t>che il professionista delegato verifichi la corrispondenza tra il diritto indicato nel pignoramento e quello risultante dagli atti, la titolarità dello stesso in capo al/i debitore/i esecu</w:t>
      </w:r>
      <w:r>
        <w:rPr>
          <w:rFonts w:ascii="Bookman Old Style" w:eastAsia="Bookman Old Style" w:hAnsi="Bookman Old Style" w:cs="Bookman Old Style"/>
          <w:sz w:val="18"/>
          <w:szCs w:val="18"/>
        </w:rPr>
        <w:t xml:space="preserve">tato/i, la completezza della certificazione ex art. 567 </w:t>
      </w:r>
      <w:proofErr w:type="spellStart"/>
      <w:r>
        <w:rPr>
          <w:rFonts w:ascii="Bookman Old Style" w:eastAsia="Bookman Old Style" w:hAnsi="Bookman Old Style" w:cs="Bookman Old Style"/>
          <w:sz w:val="18"/>
          <w:szCs w:val="18"/>
        </w:rPr>
        <w:t>c.p.c.</w:t>
      </w:r>
      <w:proofErr w:type="spellEnd"/>
      <w:r>
        <w:rPr>
          <w:rFonts w:ascii="Bookman Old Style" w:eastAsia="Bookman Old Style" w:hAnsi="Bookman Old Style" w:cs="Bookman Old Style"/>
          <w:sz w:val="18"/>
          <w:szCs w:val="18"/>
        </w:rPr>
        <w:t xml:space="preserve"> e della relazione di stima depositata dall’esperto nominato ex art. 568 </w:t>
      </w:r>
      <w:proofErr w:type="spellStart"/>
      <w:r>
        <w:rPr>
          <w:rFonts w:ascii="Bookman Old Style" w:eastAsia="Bookman Old Style" w:hAnsi="Bookman Old Style" w:cs="Bookman Old Style"/>
          <w:sz w:val="18"/>
          <w:szCs w:val="18"/>
        </w:rPr>
        <w:t>c.p.c.</w:t>
      </w:r>
      <w:proofErr w:type="spellEnd"/>
      <w:r>
        <w:rPr>
          <w:rFonts w:ascii="Bookman Old Style" w:eastAsia="Bookman Old Style" w:hAnsi="Bookman Old Style" w:cs="Bookman Old Style"/>
          <w:sz w:val="18"/>
          <w:szCs w:val="18"/>
        </w:rPr>
        <w:t xml:space="preserve">, nonché l’adempimento degli incombenti ex art. 498 </w:t>
      </w:r>
      <w:proofErr w:type="spellStart"/>
      <w:r>
        <w:rPr>
          <w:rFonts w:ascii="Bookman Old Style" w:eastAsia="Bookman Old Style" w:hAnsi="Bookman Old Style" w:cs="Bookman Old Style"/>
          <w:sz w:val="18"/>
          <w:szCs w:val="18"/>
        </w:rPr>
        <w:t>c.p.c.</w:t>
      </w:r>
      <w:proofErr w:type="spellEnd"/>
      <w:r>
        <w:rPr>
          <w:rFonts w:ascii="Bookman Old Style" w:eastAsia="Bookman Old Style" w:hAnsi="Bookman Old Style" w:cs="Bookman Old Style"/>
          <w:sz w:val="18"/>
          <w:szCs w:val="18"/>
        </w:rPr>
        <w:t>, segnalando tempestivamente al giudice eventuali discord</w:t>
      </w:r>
      <w:r>
        <w:rPr>
          <w:rFonts w:ascii="Bookman Old Style" w:eastAsia="Bookman Old Style" w:hAnsi="Bookman Old Style" w:cs="Bookman Old Style"/>
          <w:sz w:val="18"/>
          <w:szCs w:val="18"/>
        </w:rPr>
        <w:t xml:space="preserve">anze e/o carenze; </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DISPONE </w:t>
      </w:r>
      <w:r>
        <w:rPr>
          <w:rFonts w:ascii="Bookman Old Style" w:eastAsia="Bookman Old Style" w:hAnsi="Bookman Old Style" w:cs="Bookman Old Style"/>
          <w:sz w:val="18"/>
          <w:szCs w:val="18"/>
        </w:rPr>
        <w:t>che il professionista delegato notifichi copia dell’avviso di vendita alle parti (esecutato/creditori), agli eventuali creditori iscritti non intervenuti, all’eventuale coniuge comproprietario non debitore (se trattasi di be</w:t>
      </w:r>
      <w:r>
        <w:rPr>
          <w:rFonts w:ascii="Bookman Old Style" w:eastAsia="Bookman Old Style" w:hAnsi="Bookman Old Style" w:cs="Bookman Old Style"/>
          <w:sz w:val="18"/>
          <w:szCs w:val="18"/>
        </w:rPr>
        <w:t xml:space="preserve">ne oggetto di comunione legale) ed al debitore originario (se la procedura si svolga contro il terzo proprietario ex artt. 602 e seguenti </w:t>
      </w:r>
      <w:proofErr w:type="spellStart"/>
      <w:r>
        <w:rPr>
          <w:rFonts w:ascii="Bookman Old Style" w:eastAsia="Bookman Old Style" w:hAnsi="Bookman Old Style" w:cs="Bookman Old Style"/>
          <w:sz w:val="18"/>
          <w:szCs w:val="18"/>
        </w:rPr>
        <w:t>c.p.c.</w:t>
      </w:r>
      <w:proofErr w:type="spellEnd"/>
      <w:r>
        <w:rPr>
          <w:rFonts w:ascii="Bookman Old Style" w:eastAsia="Bookman Old Style" w:hAnsi="Bookman Old Style" w:cs="Bookman Old Style"/>
          <w:sz w:val="18"/>
          <w:szCs w:val="18"/>
        </w:rPr>
        <w:t>).</w:t>
      </w:r>
    </w:p>
    <w:p w:rsidR="006F5198" w:rsidRDefault="006F5198" w:rsidP="004D0B9A">
      <w:pPr>
        <w:spacing w:line="360" w:lineRule="auto"/>
        <w:ind w:left="0" w:hanging="2"/>
        <w:jc w:val="both"/>
        <w:rPr>
          <w:rFonts w:ascii="Bookman Old Style" w:eastAsia="Bookman Old Style" w:hAnsi="Bookman Old Style" w:cs="Bookman Old Style"/>
          <w:sz w:val="18"/>
          <w:szCs w:val="18"/>
        </w:rPr>
      </w:pPr>
    </w:p>
    <w:p w:rsidR="006F5198" w:rsidRDefault="002707DA" w:rsidP="004D0B9A">
      <w:pPr>
        <w:numPr>
          <w:ilvl w:val="0"/>
          <w:numId w:val="8"/>
        </w:numPr>
        <w:spacing w:line="360" w:lineRule="auto"/>
        <w:ind w:left="0" w:hanging="2"/>
        <w:contextualSpacing/>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u w:val="single"/>
        </w:rPr>
        <w:t>CONTO CORRENTE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AUTORIZZA </w:t>
      </w:r>
      <w:r>
        <w:rPr>
          <w:rFonts w:ascii="Bookman Old Style" w:eastAsia="Bookman Old Style" w:hAnsi="Bookman Old Style" w:cs="Bookman Old Style"/>
          <w:sz w:val="18"/>
          <w:szCs w:val="18"/>
        </w:rPr>
        <w:t xml:space="preserve">il professionista delegato ad aprire uno o più conti correnti bancari presso </w:t>
      </w:r>
      <w:r>
        <w:rPr>
          <w:rFonts w:ascii="Bookman Old Style" w:eastAsia="Bookman Old Style" w:hAnsi="Bookman Old Style" w:cs="Bookman Old Style"/>
          <w:sz w:val="18"/>
          <w:szCs w:val="18"/>
          <w:highlight w:val="yellow"/>
        </w:rPr>
        <w:t>uno dei seguenti istituti di credito:</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z w:val="18"/>
          <w:szCs w:val="18"/>
          <w:highlight w:val="yellow"/>
        </w:rPr>
        <w:t>;</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DISPONE </w:t>
      </w:r>
      <w:r>
        <w:rPr>
          <w:rFonts w:ascii="Bookman Old Style" w:eastAsia="Bookman Old Style" w:hAnsi="Bookman Old Style" w:cs="Bookman Old Style"/>
          <w:sz w:val="18"/>
          <w:szCs w:val="18"/>
        </w:rPr>
        <w:t>che: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il conto corrente sia intestato al Tribunale di Napoli con indicazione del numero della procedura (“Tribunale Napoli </w:t>
      </w:r>
      <w:proofErr w:type="spellStart"/>
      <w:r>
        <w:rPr>
          <w:rFonts w:ascii="Bookman Old Style" w:eastAsia="Bookman Old Style" w:hAnsi="Bookman Old Style" w:cs="Bookman Old Style"/>
          <w:sz w:val="18"/>
          <w:szCs w:val="18"/>
        </w:rPr>
        <w:t>Proc</w:t>
      </w:r>
      <w:proofErr w:type="spellEnd"/>
      <w:r>
        <w:rPr>
          <w:rFonts w:ascii="Bookman Old Style" w:eastAsia="Bookman Old Style" w:hAnsi="Bookman Old Style" w:cs="Bookman Old Style"/>
          <w:sz w:val="18"/>
          <w:szCs w:val="18"/>
        </w:rPr>
        <w:t>. n. R.G.E.”);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il conto corrente sia con servizio di home banki</w:t>
      </w:r>
      <w:r>
        <w:rPr>
          <w:rFonts w:ascii="Bookman Old Style" w:eastAsia="Bookman Old Style" w:hAnsi="Bookman Old Style" w:cs="Bookman Old Style"/>
          <w:sz w:val="18"/>
          <w:szCs w:val="18"/>
        </w:rPr>
        <w:t>ng per la verifica in tempo reale dell’accredito delle somme;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lastRenderedPageBreak/>
        <w:t xml:space="preserve">     - su tale conto siano depositate le somme dovute a titolo di cauzione per la partecipazione alla vendita da parte degli offerenti, il saldo del prezzo di aggiudicazione ed il saldo delle sp</w:t>
      </w:r>
      <w:r>
        <w:rPr>
          <w:rFonts w:ascii="Bookman Old Style" w:eastAsia="Bookman Old Style" w:hAnsi="Bookman Old Style" w:cs="Bookman Old Style"/>
          <w:sz w:val="18"/>
          <w:szCs w:val="18"/>
        </w:rPr>
        <w:t>ese versate dall’aggiudicatario;</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per le sole spese relative al trasferimento a carico dell’aggiudicatario, il professionista delegato è autorizzato ad aprire – in alternativa al conto sopra indicato – altro conto corrente sempre presso uno degli ist</w:t>
      </w:r>
      <w:r>
        <w:rPr>
          <w:rFonts w:ascii="Bookman Old Style" w:eastAsia="Bookman Old Style" w:hAnsi="Bookman Old Style" w:cs="Bookman Old Style"/>
          <w:sz w:val="18"/>
          <w:szCs w:val="18"/>
        </w:rPr>
        <w:t xml:space="preserve">ituti di credito sopra indicati, intestato ugualmente al Tribunale di Napoli con indicazione del numero della procedura e concernente unicamente le spese (“Tribunale Napoli </w:t>
      </w:r>
      <w:proofErr w:type="spellStart"/>
      <w:r>
        <w:rPr>
          <w:rFonts w:ascii="Bookman Old Style" w:eastAsia="Bookman Old Style" w:hAnsi="Bookman Old Style" w:cs="Bookman Old Style"/>
          <w:sz w:val="18"/>
          <w:szCs w:val="18"/>
        </w:rPr>
        <w:t>Proc</w:t>
      </w:r>
      <w:proofErr w:type="spellEnd"/>
      <w:r>
        <w:rPr>
          <w:rFonts w:ascii="Bookman Old Style" w:eastAsia="Bookman Old Style" w:hAnsi="Bookman Old Style" w:cs="Bookman Old Style"/>
          <w:sz w:val="18"/>
          <w:szCs w:val="18"/>
        </w:rPr>
        <w:t>. n. R.G.E. - SPESE”).</w:t>
      </w:r>
    </w:p>
    <w:p w:rsidR="006F5198" w:rsidRDefault="006F5198" w:rsidP="004D0B9A">
      <w:pPr>
        <w:spacing w:after="120" w:line="360" w:lineRule="auto"/>
        <w:ind w:left="0" w:hanging="2"/>
        <w:jc w:val="both"/>
        <w:rPr>
          <w:rFonts w:ascii="Bookman Old Style" w:eastAsia="Bookman Old Style" w:hAnsi="Bookman Old Style" w:cs="Bookman Old Style"/>
          <w:sz w:val="18"/>
          <w:szCs w:val="18"/>
        </w:rPr>
      </w:pPr>
    </w:p>
    <w:p w:rsidR="006F5198" w:rsidRDefault="002707DA" w:rsidP="004D0B9A">
      <w:pPr>
        <w:numPr>
          <w:ilvl w:val="0"/>
          <w:numId w:val="8"/>
        </w:numPr>
        <w:spacing w:line="360" w:lineRule="auto"/>
        <w:ind w:left="0" w:hanging="2"/>
        <w:contextualSpacing/>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b/>
          <w:sz w:val="18"/>
          <w:szCs w:val="18"/>
          <w:u w:val="single"/>
        </w:rPr>
        <w:t>LUOGO DI SVOLGIMENTO DELLE OPERAZIONI DELEGATE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r>
        <w:rPr>
          <w:rFonts w:ascii="Bookman Old Style" w:eastAsia="Bookman Old Style" w:hAnsi="Bookman Old Style" w:cs="Bookman Old Style"/>
          <w:sz w:val="18"/>
          <w:szCs w:val="18"/>
        </w:rPr>
        <w:t xml:space="preserve"> che: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bookmarkStart w:id="5" w:name="_2et92p0" w:colFirst="0" w:colLast="0"/>
      <w:bookmarkEnd w:id="5"/>
      <w:r>
        <w:rPr>
          <w:rFonts w:ascii="Bookman Old Style" w:eastAsia="Bookman Old Style" w:hAnsi="Bookman Old Style" w:cs="Bookman Old Style"/>
          <w:sz w:val="18"/>
          <w:szCs w:val="18"/>
        </w:rPr>
        <w:t xml:space="preserve">     - la deliberazione sulle offerte e le determinazioni consequenziali abbiano luogo a cura del professionista in Tribunale presso l’aula dedicata alle vendite delegate oppure presso lo studio del professionista medesimo (comunque situato ne</w:t>
      </w:r>
      <w:r>
        <w:rPr>
          <w:rFonts w:ascii="Bookman Old Style" w:eastAsia="Bookman Old Style" w:hAnsi="Bookman Old Style" w:cs="Bookman Old Style"/>
          <w:sz w:val="18"/>
          <w:szCs w:val="18"/>
        </w:rPr>
        <w:t>l circondario del Tribunale);</w:t>
      </w:r>
    </w:p>
    <w:p w:rsidR="006F5198" w:rsidRDefault="002707DA" w:rsidP="004D0B9A">
      <w:pPr>
        <w:spacing w:after="120"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tutte le altre attività riservate per legge al cancelliere o al giudice dell’esecuzione abbiano luogo a cura del delegato presso il proprio studio.</w:t>
      </w:r>
    </w:p>
    <w:p w:rsidR="006F5198" w:rsidRDefault="006F5198" w:rsidP="004D0B9A">
      <w:pPr>
        <w:spacing w:line="360" w:lineRule="auto"/>
        <w:ind w:left="0" w:hanging="2"/>
        <w:jc w:val="both"/>
        <w:rPr>
          <w:rFonts w:ascii="Bookman Old Style" w:eastAsia="Bookman Old Style" w:hAnsi="Bookman Old Style" w:cs="Bookman Old Style"/>
          <w:sz w:val="18"/>
          <w:szCs w:val="18"/>
        </w:rPr>
      </w:pPr>
    </w:p>
    <w:p w:rsidR="006F5198" w:rsidRDefault="002707DA" w:rsidP="004D0B9A">
      <w:pPr>
        <w:numPr>
          <w:ilvl w:val="0"/>
          <w:numId w:val="8"/>
        </w:numPr>
        <w:spacing w:line="360" w:lineRule="auto"/>
        <w:ind w:left="0" w:hanging="2"/>
        <w:contextualSpacing/>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b/>
          <w:sz w:val="18"/>
          <w:szCs w:val="18"/>
          <w:u w:val="single"/>
        </w:rPr>
        <w:t>ESITO NEGATIVO DELLA VENDITA</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bookmarkStart w:id="6" w:name="_tyjcwt" w:colFirst="0" w:colLast="0"/>
      <w:bookmarkEnd w:id="6"/>
      <w:r>
        <w:rPr>
          <w:rFonts w:ascii="Bookman Old Style" w:eastAsia="Bookman Old Style" w:hAnsi="Bookman Old Style" w:cs="Bookman Old Style"/>
          <w:sz w:val="18"/>
          <w:szCs w:val="18"/>
        </w:rPr>
        <w:t xml:space="preserve">     - che, nell’ipotesi in cui la vendita non abbia esito positivo, il professionista delegato proceda ad ulteriori vendite ai sensi dell’art. 591, secondo comma, </w:t>
      </w:r>
      <w:proofErr w:type="spellStart"/>
      <w:r>
        <w:rPr>
          <w:rFonts w:ascii="Bookman Old Style" w:eastAsia="Bookman Old Style" w:hAnsi="Bookman Old Style" w:cs="Bookman Old Style"/>
          <w:sz w:val="18"/>
          <w:szCs w:val="18"/>
        </w:rPr>
        <w:t>c.p.c.</w:t>
      </w:r>
      <w:proofErr w:type="spellEnd"/>
      <w:r>
        <w:rPr>
          <w:rFonts w:ascii="Bookman Old Style" w:eastAsia="Bookman Old Style" w:hAnsi="Bookman Old Style" w:cs="Bookman Old Style"/>
          <w:sz w:val="18"/>
          <w:szCs w:val="18"/>
        </w:rPr>
        <w:t>, ribassando il valore d’asta/prezzo di riferimento ogni volta di un quarto fino ad un</w:t>
      </w:r>
      <w:r>
        <w:rPr>
          <w:rFonts w:ascii="Bookman Old Style" w:eastAsia="Bookman Old Style" w:hAnsi="Bookman Old Style" w:cs="Bookman Old Style"/>
          <w:sz w:val="18"/>
          <w:szCs w:val="18"/>
        </w:rPr>
        <w:t xml:space="preserve"> massimo di </w:t>
      </w:r>
      <w:r>
        <w:rPr>
          <w:rFonts w:ascii="Bookman Old Style" w:eastAsia="Bookman Old Style" w:hAnsi="Bookman Old Style" w:cs="Bookman Old Style"/>
          <w:b/>
          <w:sz w:val="18"/>
          <w:szCs w:val="18"/>
        </w:rPr>
        <w:t>TRE RIBASSI</w:t>
      </w:r>
      <w:r>
        <w:rPr>
          <w:rFonts w:ascii="Bookman Old Style" w:eastAsia="Bookman Old Style" w:hAnsi="Bookman Old Style" w:cs="Bookman Old Style"/>
          <w:sz w:val="18"/>
          <w:szCs w:val="18"/>
        </w:rPr>
        <w:t>;</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nell’ipotesi di esito negativo della vendita pur a seguito dei detti ribassi, il professionista delegato inoltri relazione contenente le seguenti informazioni: descrizione del lotto; cronistoria dei tentativi di vendita</w:t>
      </w:r>
      <w:r>
        <w:rPr>
          <w:rFonts w:ascii="Bookman Old Style" w:eastAsia="Bookman Old Style" w:hAnsi="Bookman Old Style" w:cs="Bookman Old Style"/>
          <w:sz w:val="18"/>
          <w:szCs w:val="18"/>
        </w:rPr>
        <w:t xml:space="preserve"> (con indicazione delle date e dei prezzi); stato di occupazione del lotto (con indicazione anche mutamenti </w:t>
      </w:r>
      <w:r>
        <w:rPr>
          <w:rFonts w:ascii="Bookman Old Style" w:eastAsia="Bookman Old Style" w:hAnsi="Bookman Old Style" w:cs="Bookman Old Style"/>
          <w:i/>
          <w:sz w:val="18"/>
          <w:szCs w:val="18"/>
        </w:rPr>
        <w:t xml:space="preserve">medio tempore </w:t>
      </w:r>
      <w:r>
        <w:rPr>
          <w:rFonts w:ascii="Bookman Old Style" w:eastAsia="Bookman Old Style" w:hAnsi="Bookman Old Style" w:cs="Bookman Old Style"/>
          <w:sz w:val="18"/>
          <w:szCs w:val="18"/>
        </w:rPr>
        <w:t>intervenuti rispetto al primo accesso) e cronistoria dell’eventuale attività di liberazione; considerazioni finali sull’opportunità de</w:t>
      </w:r>
      <w:r>
        <w:rPr>
          <w:rFonts w:ascii="Bookman Old Style" w:eastAsia="Bookman Old Style" w:hAnsi="Bookman Old Style" w:cs="Bookman Old Style"/>
          <w:sz w:val="18"/>
          <w:szCs w:val="18"/>
        </w:rPr>
        <w:t>l prosieguo con indicazione di ogni informazione utile al riguardo, tra cui si indicano a titolo meramente esemplificativo: stima originaria eccessiva da parte del perito; immobile privo di segmento di mercato o comunque non appetibile (ad esempio: rudere;</w:t>
      </w:r>
      <w:r>
        <w:rPr>
          <w:rFonts w:ascii="Bookman Old Style" w:eastAsia="Bookman Old Style" w:hAnsi="Bookman Old Style" w:cs="Bookman Old Style"/>
          <w:sz w:val="18"/>
          <w:szCs w:val="18"/>
        </w:rPr>
        <w:t xml:space="preserve"> immobile abbandonato; terreno non agevolmente raggiungibile; terreno agricolo non appetibile; ecc.); fattori esterni (immobile ubicato in aree depresse e/o degradate; immobile ubicato in contesto familiare dell’esecutato; onere di costituzione o sottoposi</w:t>
      </w:r>
      <w:r>
        <w:rPr>
          <w:rFonts w:ascii="Bookman Old Style" w:eastAsia="Bookman Old Style" w:hAnsi="Bookman Old Style" w:cs="Bookman Old Style"/>
          <w:sz w:val="18"/>
          <w:szCs w:val="18"/>
        </w:rPr>
        <w:t>zione a servitù prediali; procedimenti giudiziari civili, penali ed amministrativi pendenti in relazione al bene; immobile sottoposto ad ordine di demolizione da parte della P.A.; ecc.); assenza e/o presenza di richieste di visita da parte di potenziali ac</w:t>
      </w:r>
      <w:r>
        <w:rPr>
          <w:rFonts w:ascii="Bookman Old Style" w:eastAsia="Bookman Old Style" w:hAnsi="Bookman Old Style" w:cs="Bookman Old Style"/>
          <w:sz w:val="18"/>
          <w:szCs w:val="18"/>
        </w:rPr>
        <w:t>quirenti; situazioni temporanee di assenza di domanda di mercato; opportunità di diversa formulazione dei lotti.</w:t>
      </w:r>
    </w:p>
    <w:p w:rsidR="006F5198" w:rsidRDefault="006F5198" w:rsidP="004D0B9A">
      <w:pPr>
        <w:spacing w:line="360" w:lineRule="auto"/>
        <w:ind w:left="0" w:hanging="2"/>
        <w:jc w:val="both"/>
        <w:rPr>
          <w:rFonts w:ascii="Bookman Old Style" w:eastAsia="Bookman Old Style" w:hAnsi="Bookman Old Style" w:cs="Bookman Old Style"/>
          <w:sz w:val="18"/>
          <w:szCs w:val="18"/>
        </w:rPr>
      </w:pP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Il giudice dell’esecuzione, dott. $$</w:t>
      </w:r>
      <w:proofErr w:type="spellStart"/>
      <w:r>
        <w:rPr>
          <w:rFonts w:ascii="Bookman Old Style" w:eastAsia="Bookman Old Style" w:hAnsi="Bookman Old Style" w:cs="Bookman Old Style"/>
          <w:sz w:val="18"/>
          <w:szCs w:val="18"/>
        </w:rPr>
        <w:t>nome_giudice</w:t>
      </w:r>
      <w:proofErr w:type="spellEnd"/>
      <w:r>
        <w:rPr>
          <w:rFonts w:ascii="Bookman Old Style" w:eastAsia="Bookman Old Style" w:hAnsi="Bookman Old Style" w:cs="Bookman Old Style"/>
          <w:sz w:val="18"/>
          <w:szCs w:val="18"/>
        </w:rPr>
        <w:t>$$ $$</w:t>
      </w:r>
      <w:proofErr w:type="spellStart"/>
      <w:r>
        <w:rPr>
          <w:rFonts w:ascii="Bookman Old Style" w:eastAsia="Bookman Old Style" w:hAnsi="Bookman Old Style" w:cs="Bookman Old Style"/>
          <w:sz w:val="18"/>
          <w:szCs w:val="18"/>
        </w:rPr>
        <w:t>cognome_giudice</w:t>
      </w:r>
      <w:proofErr w:type="spellEnd"/>
      <w:r>
        <w:rPr>
          <w:rFonts w:ascii="Bookman Old Style" w:eastAsia="Bookman Old Style" w:hAnsi="Bookman Old Style" w:cs="Bookman Old Style"/>
          <w:sz w:val="18"/>
          <w:szCs w:val="18"/>
        </w:rPr>
        <w:t>$$,</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DISPONE </w:t>
      </w:r>
      <w:r>
        <w:rPr>
          <w:rFonts w:ascii="Bookman Old Style" w:eastAsia="Bookman Old Style" w:hAnsi="Bookman Old Style" w:cs="Bookman Old Style"/>
          <w:sz w:val="18"/>
          <w:szCs w:val="18"/>
        </w:rPr>
        <w:t>che il professionista espleti le operazioni delegate</w:t>
      </w:r>
      <w:r>
        <w:rPr>
          <w:rFonts w:ascii="Bookman Old Style" w:eastAsia="Bookman Old Style" w:hAnsi="Bookman Old Style" w:cs="Bookman Old Style"/>
          <w:sz w:val="18"/>
          <w:szCs w:val="18"/>
        </w:rPr>
        <w:t xml:space="preserve"> e rediga l’avviso di vendita attenendosi alle seguenti prescrizioni:</w:t>
      </w:r>
    </w:p>
    <w:p w:rsidR="006F5198" w:rsidRDefault="002707DA" w:rsidP="004D0B9A">
      <w:pPr>
        <w:numPr>
          <w:ilvl w:val="0"/>
          <w:numId w:val="5"/>
        </w:numPr>
        <w:spacing w:line="360" w:lineRule="auto"/>
        <w:ind w:left="0" w:hanging="2"/>
        <w:contextualSpacing/>
        <w:rPr>
          <w:rFonts w:ascii="Bookman Old Style" w:eastAsia="Bookman Old Style" w:hAnsi="Bookman Old Style" w:cs="Bookman Old Style"/>
          <w:sz w:val="18"/>
          <w:szCs w:val="18"/>
          <w:u w:val="single"/>
        </w:rPr>
      </w:pPr>
      <w:r>
        <w:rPr>
          <w:rFonts w:ascii="Bookman Old Style" w:eastAsia="Bookman Old Style" w:hAnsi="Bookman Old Style" w:cs="Bookman Old Style"/>
          <w:b/>
          <w:sz w:val="18"/>
          <w:szCs w:val="18"/>
          <w:u w:val="single"/>
        </w:rPr>
        <w:t>CONDIZIONI GENERALI DELLA VENDITA</w:t>
      </w:r>
    </w:p>
    <w:p w:rsidR="006F5198" w:rsidRDefault="002707DA" w:rsidP="004D0B9A">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Avviso di vendita</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 xml:space="preserve">     </w:t>
      </w:r>
      <w:r>
        <w:rPr>
          <w:rFonts w:ascii="Bookman Old Style" w:eastAsia="Bookman Old Style" w:hAnsi="Bookman Old Style" w:cs="Bookman Old Style"/>
          <w:sz w:val="18"/>
          <w:szCs w:val="18"/>
        </w:rPr>
        <w:t>- che il professionista delegato inserisca nell’avviso di vendita la descrizione del/i bene/i oggetto della vendita ed indichi sempre separatamente sia il “valore d’asta/prezzo di riferimento”, sia l’ “offerta minima” per l’aggiudicazione (offerta corrispo</w:t>
      </w:r>
      <w:r>
        <w:rPr>
          <w:rFonts w:ascii="Bookman Old Style" w:eastAsia="Bookman Old Style" w:hAnsi="Bookman Old Style" w:cs="Bookman Old Style"/>
          <w:sz w:val="18"/>
          <w:szCs w:val="18"/>
        </w:rPr>
        <w:t>ndente al 75% del valore d’asta e da indicare comunque numericamente e non con la mera indicazione della detta percentuale);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il professionista delegato indichi nell’avviso di vendita:</w:t>
      </w:r>
    </w:p>
    <w:p w:rsidR="006F5198" w:rsidRDefault="002707DA" w:rsidP="004D0B9A">
      <w:pPr>
        <w:numPr>
          <w:ilvl w:val="0"/>
          <w:numId w:val="10"/>
        </w:numPr>
        <w:spacing w:line="360" w:lineRule="auto"/>
        <w:ind w:left="0" w:hanging="2"/>
        <w:contextualSpacing/>
        <w:jc w:val="both"/>
        <w:rPr>
          <w:sz w:val="18"/>
          <w:szCs w:val="18"/>
        </w:rPr>
      </w:pPr>
      <w:r>
        <w:rPr>
          <w:rFonts w:ascii="Bookman Old Style" w:eastAsia="Bookman Old Style" w:hAnsi="Bookman Old Style" w:cs="Bookman Old Style"/>
          <w:sz w:val="18"/>
          <w:szCs w:val="18"/>
        </w:rPr>
        <w:lastRenderedPageBreak/>
        <w:t>in primo luogo, il</w:t>
      </w:r>
      <w:r>
        <w:rPr>
          <w:rFonts w:ascii="Bookman Old Style" w:eastAsia="Bookman Old Style" w:hAnsi="Bookman Old Style" w:cs="Bookman Old Style"/>
          <w:b/>
          <w:sz w:val="18"/>
          <w:szCs w:val="18"/>
        </w:rPr>
        <w:t xml:space="preserve"> TERMINE PER LA FORMULAZIONE DELLE OFFERTE </w:t>
      </w:r>
      <w:r>
        <w:rPr>
          <w:rFonts w:ascii="Bookman Old Style" w:eastAsia="Bookman Old Style" w:hAnsi="Bookman Old Style" w:cs="Bookman Old Style"/>
          <w:b/>
          <w:sz w:val="18"/>
          <w:szCs w:val="18"/>
        </w:rPr>
        <w:t>e LA DATA DELLA VENDITA</w:t>
      </w:r>
      <w:r>
        <w:rPr>
          <w:rFonts w:ascii="Bookman Old Style" w:eastAsia="Bookman Old Style" w:hAnsi="Bookman Old Style" w:cs="Bookman Old Style"/>
          <w:sz w:val="18"/>
          <w:szCs w:val="18"/>
        </w:rPr>
        <w:t>.</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PRECISAZIONI:</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bookmarkStart w:id="7" w:name="_3dy6vkm" w:colFirst="0" w:colLast="0"/>
      <w:bookmarkEnd w:id="7"/>
      <w:r>
        <w:rPr>
          <w:rFonts w:ascii="Bookman Old Style" w:eastAsia="Bookman Old Style" w:hAnsi="Bookman Old Style" w:cs="Bookman Old Style"/>
          <w:sz w:val="18"/>
          <w:szCs w:val="18"/>
        </w:rPr>
        <w:t>il professionista indicherà il termine per la formulazione delle offerte a data fissa, indicherà altresì la data della vendita nel giorno immediatamente successivo alla scadenza del termine sopra indicato (con specifi</w:t>
      </w:r>
      <w:r>
        <w:rPr>
          <w:rFonts w:ascii="Bookman Old Style" w:eastAsia="Bookman Old Style" w:hAnsi="Bookman Old Style" w:cs="Bookman Old Style"/>
          <w:sz w:val="18"/>
          <w:szCs w:val="18"/>
        </w:rPr>
        <w:t>cazione anche dell’ora) e preciserà che, in tale data, si procederà alla verifica preliminare di ammissibilità delle offerte ed alla deliberazione sulle medesime e, eventualmente, all’avvio della gara con le modalità telematiche indicate nel prosieguo dell</w:t>
      </w:r>
      <w:r>
        <w:rPr>
          <w:rFonts w:ascii="Bookman Old Style" w:eastAsia="Bookman Old Style" w:hAnsi="Bookman Old Style" w:cs="Bookman Old Style"/>
          <w:sz w:val="18"/>
          <w:szCs w:val="18"/>
        </w:rPr>
        <w:t>a presente ordinanza;</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il professionista indicherà il termine per la formulazione delle offerte come avente scadenza sempre in un giorno non festivo (con esclusione del sabato);</w:t>
      </w:r>
    </w:p>
    <w:p w:rsidR="006F5198" w:rsidRDefault="002707DA" w:rsidP="004D0B9A">
      <w:pPr>
        <w:numPr>
          <w:ilvl w:val="0"/>
          <w:numId w:val="10"/>
        </w:numPr>
        <w:spacing w:line="360" w:lineRule="auto"/>
        <w:ind w:left="0" w:hanging="2"/>
        <w:contextualSpacing/>
        <w:jc w:val="both"/>
        <w:rPr>
          <w:sz w:val="18"/>
          <w:szCs w:val="18"/>
        </w:rPr>
      </w:pPr>
      <w:r>
        <w:rPr>
          <w:rFonts w:ascii="Bookman Old Style" w:eastAsia="Bookman Old Style" w:hAnsi="Bookman Old Style" w:cs="Bookman Old Style"/>
          <w:sz w:val="18"/>
          <w:szCs w:val="18"/>
        </w:rPr>
        <w:t xml:space="preserve">in secondo luogo, che – in caso di plurime offerte ammissibili – la gara avrà luogo nella forma della </w:t>
      </w:r>
      <w:r>
        <w:rPr>
          <w:rFonts w:ascii="Bookman Old Style" w:eastAsia="Bookman Old Style" w:hAnsi="Bookman Old Style" w:cs="Bookman Old Style"/>
          <w:b/>
          <w:sz w:val="18"/>
          <w:szCs w:val="18"/>
        </w:rPr>
        <w:t xml:space="preserve">VENDITA ASINCRONA </w:t>
      </w:r>
      <w:r>
        <w:rPr>
          <w:rFonts w:ascii="Bookman Old Style" w:eastAsia="Bookman Old Style" w:hAnsi="Bookman Old Style" w:cs="Bookman Old Style"/>
          <w:sz w:val="18"/>
          <w:szCs w:val="18"/>
        </w:rPr>
        <w:t xml:space="preserve">con le modalità telematiche indicate nel prosieguo della presente ordinanza; </w:t>
      </w:r>
    </w:p>
    <w:p w:rsidR="006F5198" w:rsidRDefault="002707DA" w:rsidP="004D0B9A">
      <w:pPr>
        <w:numPr>
          <w:ilvl w:val="0"/>
          <w:numId w:val="10"/>
        </w:numPr>
        <w:spacing w:line="360" w:lineRule="auto"/>
        <w:ind w:left="0" w:hanging="2"/>
        <w:contextualSpacing/>
        <w:jc w:val="both"/>
        <w:rPr>
          <w:sz w:val="18"/>
          <w:szCs w:val="18"/>
        </w:rPr>
      </w:pPr>
      <w:r>
        <w:rPr>
          <w:rFonts w:ascii="Bookman Old Style" w:eastAsia="Bookman Old Style" w:hAnsi="Bookman Old Style" w:cs="Bookman Old Style"/>
          <w:sz w:val="18"/>
          <w:szCs w:val="18"/>
        </w:rPr>
        <w:t>in terzo luogo e per l’ipotesi di avvio della gara tra più</w:t>
      </w:r>
      <w:r>
        <w:rPr>
          <w:rFonts w:ascii="Bookman Old Style" w:eastAsia="Bookman Old Style" w:hAnsi="Bookman Old Style" w:cs="Bookman Old Style"/>
          <w:sz w:val="18"/>
          <w:szCs w:val="18"/>
        </w:rPr>
        <w:t xml:space="preserve"> offerenti:</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il </w:t>
      </w:r>
      <w:r>
        <w:rPr>
          <w:rFonts w:ascii="Bookman Old Style" w:eastAsia="Bookman Old Style" w:hAnsi="Bookman Old Style" w:cs="Bookman Old Style"/>
          <w:b/>
          <w:sz w:val="18"/>
          <w:szCs w:val="18"/>
        </w:rPr>
        <w:t>TERMINE DI SVOLGIMENTO DELL’EVENTUALE GARA TRA GLI OFFERENTI</w:t>
      </w:r>
      <w:r>
        <w:rPr>
          <w:rFonts w:ascii="Bookman Old Style" w:eastAsia="Bookman Old Style" w:hAnsi="Bookman Old Style" w:cs="Bookman Old Style"/>
          <w:sz w:val="18"/>
          <w:szCs w:val="18"/>
        </w:rPr>
        <w:t xml:space="preserve"> (ovverosia, il termine entro il quale gli offerenti potranno formulare offerte in rilancio con le modalità telematiche indicate nel prosieguo della presente ordinanza);</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bookmarkStart w:id="8" w:name="_1t3h5sf" w:colFirst="0" w:colLast="0"/>
      <w:bookmarkEnd w:id="8"/>
      <w:r>
        <w:rPr>
          <w:rFonts w:ascii="Bookman Old Style" w:eastAsia="Bookman Old Style" w:hAnsi="Bookman Old Style" w:cs="Bookman Old Style"/>
          <w:sz w:val="18"/>
          <w:szCs w:val="18"/>
        </w:rPr>
        <w:t xml:space="preserve">la </w:t>
      </w:r>
      <w:r>
        <w:rPr>
          <w:rFonts w:ascii="Bookman Old Style" w:eastAsia="Bookman Old Style" w:hAnsi="Bookman Old Style" w:cs="Bookman Old Style"/>
          <w:b/>
          <w:sz w:val="18"/>
          <w:szCs w:val="18"/>
        </w:rPr>
        <w:t>DATA PER</w:t>
      </w:r>
      <w:r>
        <w:rPr>
          <w:rFonts w:ascii="Bookman Old Style" w:eastAsia="Bookman Old Style" w:hAnsi="Bookman Old Style" w:cs="Bookman Old Style"/>
          <w:b/>
          <w:sz w:val="18"/>
          <w:szCs w:val="18"/>
        </w:rPr>
        <w:t xml:space="preserve"> LE DETERMINAZIONI FINALI SULLE OFFERTE</w:t>
      </w:r>
      <w:r>
        <w:rPr>
          <w:rFonts w:ascii="Bookman Old Style" w:eastAsia="Bookman Old Style" w:hAnsi="Bookman Old Style" w:cs="Bookman Old Style"/>
          <w:sz w:val="18"/>
          <w:szCs w:val="18"/>
        </w:rPr>
        <w:t xml:space="preserve"> (coincidente con il primo giorno successivo alla scadenza del termine per lo svolgimento della gara tra gli offerenti, con esclusione del sabato e dei giorni festivi); </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Cauzione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DISPONE </w:t>
      </w:r>
      <w:r>
        <w:rPr>
          <w:rFonts w:ascii="Bookman Old Style" w:eastAsia="Bookman Old Style" w:hAnsi="Bookman Old Style" w:cs="Bookman Old Style"/>
          <w:sz w:val="18"/>
          <w:szCs w:val="18"/>
        </w:rPr>
        <w:t>che l’offerente vers</w:t>
      </w:r>
      <w:r>
        <w:rPr>
          <w:rFonts w:ascii="Bookman Old Style" w:eastAsia="Bookman Old Style" w:hAnsi="Bookman Old Style" w:cs="Bookman Old Style"/>
          <w:sz w:val="18"/>
          <w:szCs w:val="18"/>
        </w:rPr>
        <w:t xml:space="preserve">i – con le modalità telematiche di seguito indicate – una somma pari al </w:t>
      </w:r>
      <w:r>
        <w:rPr>
          <w:rFonts w:ascii="Bookman Old Style" w:eastAsia="Bookman Old Style" w:hAnsi="Bookman Old Style" w:cs="Bookman Old Style"/>
          <w:b/>
          <w:sz w:val="18"/>
          <w:szCs w:val="18"/>
        </w:rPr>
        <w:t>dieci per cento (10%) del prezzo offerto</w:t>
      </w:r>
      <w:r>
        <w:rPr>
          <w:rFonts w:ascii="Bookman Old Style" w:eastAsia="Bookman Old Style" w:hAnsi="Bookman Old Style" w:cs="Bookman Old Style"/>
          <w:sz w:val="18"/>
          <w:szCs w:val="18"/>
        </w:rPr>
        <w:t>, a titolo di cauzione, che sarà in ogni caso trattenuta in caso di rifiuto dell’acquisto;</w:t>
      </w:r>
    </w:p>
    <w:p w:rsidR="006F5198" w:rsidRDefault="002707DA" w:rsidP="004D0B9A">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 xml:space="preserve">Verifica di ammissibilità e deliberazione sulle </w:t>
      </w:r>
      <w:r>
        <w:rPr>
          <w:rFonts w:ascii="Bookman Old Style" w:eastAsia="Bookman Old Style" w:hAnsi="Bookman Old Style" w:cs="Bookman Old Style"/>
          <w:b/>
          <w:i/>
          <w:sz w:val="18"/>
          <w:szCs w:val="18"/>
          <w:u w:val="single"/>
        </w:rPr>
        <w:t>offerte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il professionista verifichi preliminarmente l’ammissibilità delle offerte in conformità alle prescrizioni generali degli artt. 571 e seguenti </w:t>
      </w:r>
      <w:proofErr w:type="spellStart"/>
      <w:r>
        <w:rPr>
          <w:rFonts w:ascii="Bookman Old Style" w:eastAsia="Bookman Old Style" w:hAnsi="Bookman Old Style" w:cs="Bookman Old Style"/>
          <w:sz w:val="18"/>
          <w:szCs w:val="18"/>
        </w:rPr>
        <w:t>c.p.c.</w:t>
      </w:r>
      <w:proofErr w:type="spellEnd"/>
      <w:r>
        <w:rPr>
          <w:rFonts w:ascii="Bookman Old Style" w:eastAsia="Bookman Old Style" w:hAnsi="Bookman Old Style" w:cs="Bookman Old Style"/>
          <w:sz w:val="18"/>
          <w:szCs w:val="18"/>
        </w:rPr>
        <w:t xml:space="preserve"> e delle prescrizioni speciali contenute nella presente ordinanza;  </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all’esito della verifica sull’ammissibilità delle offerte, il professionista proceda come segue:</w:t>
      </w:r>
    </w:p>
    <w:p w:rsidR="006F5198" w:rsidRDefault="002707DA" w:rsidP="004D0B9A">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z w:val="18"/>
          <w:szCs w:val="18"/>
          <w:u w:val="single"/>
        </w:rPr>
        <w:t>nell’ipotesi di presentazione di UNICA OFFERTA AMMISSIBILE: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a) se l’offerta sia pari o superiore al “valore d’asta/prezzo di riferimento”</w:t>
      </w:r>
      <w:r>
        <w:rPr>
          <w:rFonts w:ascii="Bookman Old Style" w:eastAsia="Bookman Old Style" w:hAnsi="Bookman Old Style" w:cs="Bookman Old Style"/>
          <w:sz w:val="18"/>
          <w:szCs w:val="18"/>
        </w:rPr>
        <w:t xml:space="preserve"> indicato nell’avviso di vendita, l’offerta sia accolta ed il bene aggiudicato all’offerente;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b) se l’offerta sia inferiore al “valore d’asta/prezzo di riferimento” indicato nell’avviso di vendita (ovviamente, nei limiti di ammissibilità dell’offerta)</w:t>
      </w:r>
      <w:r>
        <w:rPr>
          <w:rFonts w:ascii="Bookman Old Style" w:eastAsia="Bookman Old Style" w:hAnsi="Bookman Old Style" w:cs="Bookman Old Style"/>
          <w:sz w:val="18"/>
          <w:szCs w:val="18"/>
        </w:rPr>
        <w:t>, l’offerta sia accolta ed il bene aggiudicato all’offerente salvo che:</w:t>
      </w:r>
    </w:p>
    <w:p w:rsidR="006F5198" w:rsidRDefault="002707DA" w:rsidP="004D0B9A">
      <w:pPr>
        <w:numPr>
          <w:ilvl w:val="0"/>
          <w:numId w:val="11"/>
        </w:numPr>
        <w:spacing w:line="360" w:lineRule="auto"/>
        <w:ind w:left="0" w:hanging="2"/>
        <w:contextualSpacing/>
        <w:jc w:val="both"/>
        <w:rPr>
          <w:sz w:val="18"/>
          <w:szCs w:val="18"/>
        </w:rPr>
      </w:pPr>
      <w:r>
        <w:rPr>
          <w:rFonts w:ascii="Bookman Old Style" w:eastAsia="Bookman Old Style" w:hAnsi="Bookman Old Style" w:cs="Bookman Old Style"/>
          <w:sz w:val="18"/>
          <w:szCs w:val="18"/>
        </w:rPr>
        <w:t>in primo luogo, il professionista ritenga che vi sia seria possibilità di conseguire un prezzo superiore con una nuova vendita in ragione dell’esistenza di circostanze specifiche e con</w:t>
      </w:r>
      <w:r>
        <w:rPr>
          <w:rFonts w:ascii="Bookman Old Style" w:eastAsia="Bookman Old Style" w:hAnsi="Bookman Old Style" w:cs="Bookman Old Style"/>
          <w:sz w:val="18"/>
          <w:szCs w:val="18"/>
        </w:rPr>
        <w:t>crete (da indicarsi in ogni caso espressamente nel verbale);</w:t>
      </w:r>
    </w:p>
    <w:p w:rsidR="006F5198" w:rsidRDefault="002707DA" w:rsidP="004D0B9A">
      <w:pPr>
        <w:numPr>
          <w:ilvl w:val="0"/>
          <w:numId w:val="11"/>
        </w:numPr>
        <w:spacing w:line="360" w:lineRule="auto"/>
        <w:ind w:left="0" w:hanging="2"/>
        <w:contextualSpacing/>
        <w:jc w:val="both"/>
        <w:rPr>
          <w:sz w:val="18"/>
          <w:szCs w:val="18"/>
        </w:rPr>
      </w:pPr>
      <w:r>
        <w:rPr>
          <w:rFonts w:ascii="Bookman Old Style" w:eastAsia="Bookman Old Style" w:hAnsi="Bookman Old Style" w:cs="Bookman Old Style"/>
          <w:sz w:val="18"/>
          <w:szCs w:val="18"/>
        </w:rPr>
        <w:t xml:space="preserve">in secondo luogo, siano state presentate istanze di assegnazione ai sensi degli artt. 588 e 589 </w:t>
      </w:r>
      <w:proofErr w:type="spellStart"/>
      <w:r>
        <w:rPr>
          <w:rFonts w:ascii="Bookman Old Style" w:eastAsia="Bookman Old Style" w:hAnsi="Bookman Old Style" w:cs="Bookman Old Style"/>
          <w:sz w:val="18"/>
          <w:szCs w:val="18"/>
        </w:rPr>
        <w:t>c.p.c.</w:t>
      </w:r>
      <w:proofErr w:type="spellEnd"/>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Nel primo caso, il professionista pronuncerà nuovo avviso di vendita e comunicherà la c</w:t>
      </w:r>
      <w:r>
        <w:rPr>
          <w:rFonts w:ascii="Bookman Old Style" w:eastAsia="Bookman Old Style" w:hAnsi="Bookman Old Style" w:cs="Bookman Old Style"/>
          <w:sz w:val="18"/>
          <w:szCs w:val="18"/>
        </w:rPr>
        <w:t>ircostanza al giudice dell’esecuzione.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Nel secondo caso, il professionista procederà alla delibazione dell’istanza di assegnazione ed agli adempimenti consequenziali;  </w:t>
      </w:r>
    </w:p>
    <w:p w:rsidR="006F5198" w:rsidRDefault="002707DA" w:rsidP="004D0B9A">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z w:val="18"/>
          <w:szCs w:val="18"/>
          <w:u w:val="single"/>
        </w:rPr>
        <w:t>nell’ipotesi di presentazione di PIU’ OFFERTE AMMISSIBILI:</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a) il profess</w:t>
      </w:r>
      <w:r>
        <w:rPr>
          <w:rFonts w:ascii="Bookman Old Style" w:eastAsia="Bookman Old Style" w:hAnsi="Bookman Old Style" w:cs="Bookman Old Style"/>
          <w:sz w:val="18"/>
          <w:szCs w:val="18"/>
        </w:rPr>
        <w:t>ionista procederà anzitutto ad avviare la gara tra gli offerenti (che avrà luogo con le modalità telematiche indicate nel prosieguo della presente ordinanza);</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lastRenderedPageBreak/>
        <w:t xml:space="preserve">     b) all’esito della scadenza del termine di svolgimento della gara tra gli offerenti il profe</w:t>
      </w:r>
      <w:r>
        <w:rPr>
          <w:rFonts w:ascii="Bookman Old Style" w:eastAsia="Bookman Old Style" w:hAnsi="Bookman Old Style" w:cs="Bookman Old Style"/>
          <w:sz w:val="18"/>
          <w:szCs w:val="18"/>
        </w:rPr>
        <w:t xml:space="preserve">ssionista procederà a verificare l’eventuale formulazione di rilanci ed alle determinazioni sull’aggiudicazione nei seguenti termini: </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il professionista individuerà la migliore offerta tenendo conto – nell’ordine di seguito indicato – dei seguenti elementi: i) maggior importo del prezzo offerto; ii) a parità di prezzo offerto, maggior importo della cauzione prestata; iii) a parità al</w:t>
      </w:r>
      <w:r>
        <w:rPr>
          <w:rFonts w:ascii="Bookman Old Style" w:eastAsia="Bookman Old Style" w:hAnsi="Bookman Old Style" w:cs="Bookman Old Style"/>
          <w:sz w:val="18"/>
          <w:szCs w:val="18"/>
        </w:rPr>
        <w:t>tresì di cauzione prestata, minor termine indicato per il versamento del prezzo; iv) a parità altresì di termine per il versamento del prezzo, priorità temporale nel deposito dell’offerta;</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c) il professionista procederà infine come segue:</w:t>
      </w:r>
    </w:p>
    <w:p w:rsidR="006F5198" w:rsidRDefault="002707DA" w:rsidP="004D0B9A">
      <w:pPr>
        <w:numPr>
          <w:ilvl w:val="0"/>
          <w:numId w:val="1"/>
        </w:numPr>
        <w:spacing w:line="360" w:lineRule="auto"/>
        <w:ind w:left="0" w:hanging="2"/>
        <w:contextualSpacing/>
        <w:jc w:val="both"/>
        <w:rPr>
          <w:sz w:val="18"/>
          <w:szCs w:val="18"/>
        </w:rPr>
      </w:pPr>
      <w:r>
        <w:rPr>
          <w:rFonts w:ascii="Bookman Old Style" w:eastAsia="Bookman Old Style" w:hAnsi="Bookman Old Style" w:cs="Bookman Old Style"/>
          <w:sz w:val="18"/>
          <w:szCs w:val="18"/>
        </w:rPr>
        <w:t>qualora il miglio</w:t>
      </w:r>
      <w:r>
        <w:rPr>
          <w:rFonts w:ascii="Bookman Old Style" w:eastAsia="Bookman Old Style" w:hAnsi="Bookman Old Style" w:cs="Bookman Old Style"/>
          <w:sz w:val="18"/>
          <w:szCs w:val="18"/>
        </w:rPr>
        <w:t>r prezzo offerto all’esito della gara o comunque il miglior prezzo risultante all’esito dell’avvio della stessa (e ciò anche nel caso in cui non siano formulate offerte in aumento) sia pari o superiore al “valore d’asta/prezzo di riferimento” indicato nell</w:t>
      </w:r>
      <w:r>
        <w:rPr>
          <w:rFonts w:ascii="Bookman Old Style" w:eastAsia="Bookman Old Style" w:hAnsi="Bookman Old Style" w:cs="Bookman Old Style"/>
          <w:sz w:val="18"/>
          <w:szCs w:val="18"/>
        </w:rPr>
        <w:t>’avviso di vendita, il bene sarà aggiudicato al miglior offerente come sopra individuato;</w:t>
      </w:r>
    </w:p>
    <w:p w:rsidR="006F5198" w:rsidRDefault="002707DA" w:rsidP="004D0B9A">
      <w:pPr>
        <w:numPr>
          <w:ilvl w:val="0"/>
          <w:numId w:val="1"/>
        </w:numPr>
        <w:spacing w:line="360" w:lineRule="auto"/>
        <w:ind w:left="0" w:hanging="2"/>
        <w:contextualSpacing/>
        <w:jc w:val="both"/>
        <w:rPr>
          <w:sz w:val="18"/>
          <w:szCs w:val="18"/>
        </w:rPr>
      </w:pPr>
      <w:r>
        <w:rPr>
          <w:rFonts w:ascii="Bookman Old Style" w:eastAsia="Bookman Old Style" w:hAnsi="Bookman Old Style" w:cs="Bookman Old Style"/>
          <w:sz w:val="18"/>
          <w:szCs w:val="18"/>
        </w:rPr>
        <w:t>qualora il miglior prezzo offerto all’esito della gara o comunque il miglior prezzo risultante all’esito dell’avvio della stessa (e ciò anche nel caso in cui non sian</w:t>
      </w:r>
      <w:r>
        <w:rPr>
          <w:rFonts w:ascii="Bookman Old Style" w:eastAsia="Bookman Old Style" w:hAnsi="Bookman Old Style" w:cs="Bookman Old Style"/>
          <w:sz w:val="18"/>
          <w:szCs w:val="18"/>
        </w:rPr>
        <w:t>o formulate offerte in aumento) sia inferiore al “valore d’asta/prezzo di riferimento” indicato nell’avviso di vendita e siano state presentate istanze di assegnazione, il professionista non darà luogo all’aggiudicazione e procederà alla delibazione dell’i</w:t>
      </w:r>
      <w:r>
        <w:rPr>
          <w:rFonts w:ascii="Bookman Old Style" w:eastAsia="Bookman Old Style" w:hAnsi="Bookman Old Style" w:cs="Bookman Old Style"/>
          <w:sz w:val="18"/>
          <w:szCs w:val="18"/>
        </w:rPr>
        <w:t>stanza di assegnazione ed agli adempimenti consequenziali;</w:t>
      </w:r>
    </w:p>
    <w:p w:rsidR="006F5198" w:rsidRDefault="002707DA" w:rsidP="004D0B9A">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Saldo prezzo</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r>
        <w:rPr>
          <w:rFonts w:ascii="Bookman Old Style" w:eastAsia="Bookman Old Style" w:hAnsi="Bookman Old Style" w:cs="Bookman Old Style"/>
          <w:sz w:val="18"/>
          <w:szCs w:val="18"/>
        </w:rPr>
        <w:t>:</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il versamento del saldo del prezzo debba aver luogo entro il termine indicato in offerta, oppure, nel caso nell’offerta non sia indicato un termine o nel </w:t>
      </w:r>
      <w:r>
        <w:rPr>
          <w:rFonts w:ascii="Bookman Old Style" w:eastAsia="Bookman Old Style" w:hAnsi="Bookman Old Style" w:cs="Bookman Old Style"/>
          <w:sz w:val="18"/>
          <w:szCs w:val="18"/>
        </w:rPr>
        <w:t xml:space="preserve">caso nell’offerta sia indicato un termine superiore rispetto a quello di seguito indicato, entro il </w:t>
      </w:r>
      <w:r>
        <w:rPr>
          <w:rFonts w:ascii="Bookman Old Style" w:eastAsia="Bookman Old Style" w:hAnsi="Bookman Old Style" w:cs="Bookman Old Style"/>
          <w:b/>
          <w:sz w:val="18"/>
          <w:szCs w:val="18"/>
        </w:rPr>
        <w:t>termine di 120 giorni dall’aggiudicazione</w:t>
      </w:r>
      <w:r>
        <w:rPr>
          <w:rFonts w:ascii="Bookman Old Style" w:eastAsia="Bookman Old Style" w:hAnsi="Bookman Old Style" w:cs="Bookman Old Style"/>
          <w:sz w:val="18"/>
          <w:szCs w:val="18"/>
        </w:rPr>
        <w:t>;</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 xml:space="preserve">     - </w:t>
      </w:r>
      <w:r>
        <w:rPr>
          <w:rFonts w:ascii="Bookman Old Style" w:eastAsia="Bookman Old Style" w:hAnsi="Bookman Old Style" w:cs="Bookman Old Style"/>
          <w:sz w:val="18"/>
          <w:szCs w:val="18"/>
        </w:rPr>
        <w:t>che il</w:t>
      </w:r>
      <w:r>
        <w:rPr>
          <w:rFonts w:ascii="Bookman Old Style" w:eastAsia="Bookman Old Style" w:hAnsi="Bookman Old Style" w:cs="Bookman Old Style"/>
          <w:b/>
          <w:sz w:val="18"/>
          <w:szCs w:val="18"/>
        </w:rPr>
        <w:t xml:space="preserve"> </w:t>
      </w:r>
      <w:r>
        <w:rPr>
          <w:rFonts w:ascii="Bookman Old Style" w:eastAsia="Bookman Old Style" w:hAnsi="Bookman Old Style" w:cs="Bookman Old Style"/>
          <w:sz w:val="18"/>
          <w:szCs w:val="18"/>
        </w:rPr>
        <w:t xml:space="preserve">versamento del saldo del prezzo debba aver luogo con le seguenti modalità: i) </w:t>
      </w:r>
      <w:r>
        <w:rPr>
          <w:rFonts w:ascii="Bookman Old Style" w:eastAsia="Bookman Old Style" w:hAnsi="Bookman Old Style" w:cs="Bookman Old Style"/>
          <w:b/>
          <w:sz w:val="18"/>
          <w:szCs w:val="18"/>
        </w:rPr>
        <w:t>bonifico bancario</w:t>
      </w:r>
      <w:r>
        <w:rPr>
          <w:rFonts w:ascii="Bookman Old Style" w:eastAsia="Bookman Old Style" w:hAnsi="Bookman Old Style" w:cs="Bookman Old Style"/>
          <w:sz w:val="18"/>
          <w:szCs w:val="18"/>
        </w:rPr>
        <w:t xml:space="preserve"> sul</w:t>
      </w:r>
      <w:r>
        <w:rPr>
          <w:rFonts w:ascii="Bookman Old Style" w:eastAsia="Bookman Old Style" w:hAnsi="Bookman Old Style" w:cs="Bookman Old Style"/>
          <w:sz w:val="18"/>
          <w:szCs w:val="18"/>
        </w:rPr>
        <w:t xml:space="preserve"> conto corrente indicato nell’avviso di vendita (con la precisazione che – ai fini della verifica della tempestività del versamento – si darà rilievo alla data dell’ordine di bonifico); oppure: ii) consegna al professionista delegato di un </w:t>
      </w:r>
      <w:r>
        <w:rPr>
          <w:rFonts w:ascii="Bookman Old Style" w:eastAsia="Bookman Old Style" w:hAnsi="Bookman Old Style" w:cs="Bookman Old Style"/>
          <w:b/>
          <w:sz w:val="18"/>
          <w:szCs w:val="18"/>
        </w:rPr>
        <w:t>assegno circolar</w:t>
      </w:r>
      <w:r>
        <w:rPr>
          <w:rFonts w:ascii="Bookman Old Style" w:eastAsia="Bookman Old Style" w:hAnsi="Bookman Old Style" w:cs="Bookman Old Style"/>
          <w:b/>
          <w:sz w:val="18"/>
          <w:szCs w:val="18"/>
        </w:rPr>
        <w:t>e</w:t>
      </w:r>
      <w:r>
        <w:rPr>
          <w:rFonts w:ascii="Bookman Old Style" w:eastAsia="Bookman Old Style" w:hAnsi="Bookman Old Style" w:cs="Bookman Old Style"/>
          <w:sz w:val="18"/>
          <w:szCs w:val="18"/>
        </w:rPr>
        <w:t xml:space="preserve"> non trasferibile intestato al Tribunale di Napoli, procedura esecutiva, n. / R.G.E.;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in caso di inadempimento all’obbligazione di pagamento del prezzo: i) l’aggiudicazione sia revocata e le somme versate dall’aggiudicatario a titolo di cauzio</w:t>
      </w:r>
      <w:r>
        <w:rPr>
          <w:rFonts w:ascii="Bookman Old Style" w:eastAsia="Bookman Old Style" w:hAnsi="Bookman Old Style" w:cs="Bookman Old Style"/>
          <w:sz w:val="18"/>
          <w:szCs w:val="18"/>
        </w:rPr>
        <w:t>ne siano acquisite a titolo di multa; ii) il professionista proceda a fissare immediatamente nuovo esperimento di vendita alle medesime condizioni di cui all’ultimo tentativo di vendita e con cauzione pari al</w:t>
      </w:r>
      <w:r>
        <w:rPr>
          <w:rFonts w:ascii="Bookman Old Style" w:eastAsia="Bookman Old Style" w:hAnsi="Bookman Old Style" w:cs="Bookman Old Style"/>
          <w:b/>
          <w:sz w:val="18"/>
          <w:szCs w:val="18"/>
        </w:rPr>
        <w:t xml:space="preserve"> venti per cento (20%) del prezzo offerto</w:t>
      </w:r>
      <w:r>
        <w:rPr>
          <w:rFonts w:ascii="Bookman Old Style" w:eastAsia="Bookman Old Style" w:hAnsi="Bookman Old Style" w:cs="Bookman Old Style"/>
          <w:sz w:val="18"/>
          <w:szCs w:val="18"/>
        </w:rPr>
        <w:t>, trasm</w:t>
      </w:r>
      <w:r>
        <w:rPr>
          <w:rFonts w:ascii="Bookman Old Style" w:eastAsia="Bookman Old Style" w:hAnsi="Bookman Old Style" w:cs="Bookman Old Style"/>
          <w:sz w:val="18"/>
          <w:szCs w:val="18"/>
        </w:rPr>
        <w:t xml:space="preserve">ettendo gli atti al giudice per l’emissione del provvedimento di cui all’art. 587 </w:t>
      </w:r>
      <w:proofErr w:type="spellStart"/>
      <w:r>
        <w:rPr>
          <w:rFonts w:ascii="Bookman Old Style" w:eastAsia="Bookman Old Style" w:hAnsi="Bookman Old Style" w:cs="Bookman Old Style"/>
          <w:sz w:val="18"/>
          <w:szCs w:val="18"/>
        </w:rPr>
        <w:t>c.p.c.</w:t>
      </w:r>
      <w:proofErr w:type="spellEnd"/>
      <w:r>
        <w:rPr>
          <w:rFonts w:ascii="Bookman Old Style" w:eastAsia="Bookman Old Style" w:hAnsi="Bookman Old Style" w:cs="Bookman Old Style"/>
          <w:sz w:val="18"/>
          <w:szCs w:val="18"/>
        </w:rPr>
        <w:t>;</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laddove il bene sia gravato da ipoteca iscritta a garanzia di mutuo concesso ai sensi del R.D. 16 luglio 1905, n. 646 ovvero del D.P.R. 21 gennaio 1976, n</w:t>
      </w:r>
      <w:r>
        <w:rPr>
          <w:rFonts w:ascii="Bookman Old Style" w:eastAsia="Bookman Old Style" w:hAnsi="Bookman Old Style" w:cs="Bookman Old Style"/>
          <w:sz w:val="18"/>
          <w:szCs w:val="18"/>
        </w:rPr>
        <w:t xml:space="preserve">. 7 ovvero dell’art. 38 del D. </w:t>
      </w:r>
      <w:proofErr w:type="spellStart"/>
      <w:r>
        <w:rPr>
          <w:rFonts w:ascii="Bookman Old Style" w:eastAsia="Bookman Old Style" w:hAnsi="Bookman Old Style" w:cs="Bookman Old Style"/>
          <w:sz w:val="18"/>
          <w:szCs w:val="18"/>
        </w:rPr>
        <w:t>Lgs</w:t>
      </w:r>
      <w:proofErr w:type="spellEnd"/>
      <w:r>
        <w:rPr>
          <w:rFonts w:ascii="Bookman Old Style" w:eastAsia="Bookman Old Style" w:hAnsi="Bookman Old Style" w:cs="Bookman Old Style"/>
          <w:sz w:val="18"/>
          <w:szCs w:val="18"/>
        </w:rPr>
        <w:t>. 10 settembre 1993, n. 385 (</w:t>
      </w:r>
      <w:r>
        <w:rPr>
          <w:rFonts w:ascii="Bookman Old Style" w:eastAsia="Bookman Old Style" w:hAnsi="Bookman Old Style" w:cs="Bookman Old Style"/>
          <w:b/>
          <w:i/>
          <w:sz w:val="18"/>
          <w:szCs w:val="18"/>
        </w:rPr>
        <w:t>creditore fondiario</w:t>
      </w:r>
      <w:r>
        <w:rPr>
          <w:rFonts w:ascii="Bookman Old Style" w:eastAsia="Bookman Old Style" w:hAnsi="Bookman Old Style" w:cs="Bookman Old Style"/>
          <w:sz w:val="18"/>
          <w:szCs w:val="18"/>
        </w:rPr>
        <w:t>), il versamento del prezzo abbia luogo con le seguenti modalità: i) l’aggiudicatario procederà in ogni caso al versamento presso il professionista delegato con le modalità sopra indicate; ii) il professionista delegato verserà gli importi al creditore con</w:t>
      </w:r>
      <w:r>
        <w:rPr>
          <w:rFonts w:ascii="Bookman Old Style" w:eastAsia="Bookman Old Style" w:hAnsi="Bookman Old Style" w:cs="Bookman Old Style"/>
          <w:sz w:val="18"/>
          <w:szCs w:val="18"/>
        </w:rPr>
        <w:t xml:space="preserve"> valuta dalla data del versamento del saldo prezzo nei limiti della parte del credito garantita da ipoteca ai sensi dell’art. 2855 cod. civ. (con la precisazione che il creditore fondiario è onerato di comunicare al professionista delegato un atto contenen</w:t>
      </w:r>
      <w:r>
        <w:rPr>
          <w:rFonts w:ascii="Bookman Old Style" w:eastAsia="Bookman Old Style" w:hAnsi="Bookman Old Style" w:cs="Bookman Old Style"/>
          <w:sz w:val="18"/>
          <w:szCs w:val="18"/>
        </w:rPr>
        <w:t>te: la precisazione analitica di tale parte del credito e dei relativi criteri di calcolo; le modalità per il versamento diretto e, in particolare, il conto corrente di accredito delle somme);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e per l’effetto:</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AUTORIZZA </w:t>
      </w:r>
      <w:r>
        <w:rPr>
          <w:rFonts w:ascii="Bookman Old Style" w:eastAsia="Bookman Old Style" w:hAnsi="Bookman Old Style" w:cs="Bookman Old Style"/>
          <w:sz w:val="18"/>
          <w:szCs w:val="18"/>
        </w:rPr>
        <w:t>il professionista delegato</w:t>
      </w:r>
      <w:r>
        <w:rPr>
          <w:rFonts w:ascii="Bookman Old Style" w:eastAsia="Bookman Old Style" w:hAnsi="Bookman Old Style" w:cs="Bookman Old Style"/>
          <w:sz w:val="18"/>
          <w:szCs w:val="18"/>
        </w:rPr>
        <w:t xml:space="preserve"> ad operare il versamento in favore del creditore fondiario nei termini sopra indicati e con disposizione di bonifico a valere sul conto corrente intestato alla procedura;</w:t>
      </w:r>
    </w:p>
    <w:p w:rsidR="006F5198" w:rsidRDefault="002707DA" w:rsidP="004D0B9A">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Saldo spese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bookmarkStart w:id="9" w:name="_4d34og8" w:colFirst="0" w:colLast="0"/>
      <w:bookmarkEnd w:id="9"/>
      <w:r>
        <w:rPr>
          <w:rFonts w:ascii="Bookman Old Style" w:eastAsia="Bookman Old Style" w:hAnsi="Bookman Old Style" w:cs="Bookman Old Style"/>
          <w:sz w:val="18"/>
          <w:szCs w:val="18"/>
        </w:rPr>
        <w:lastRenderedPageBreak/>
        <w:t xml:space="preserve">     - che, nel termine fissato per il versamento del</w:t>
      </w:r>
      <w:r>
        <w:rPr>
          <w:rFonts w:ascii="Bookman Old Style" w:eastAsia="Bookman Old Style" w:hAnsi="Bookman Old Style" w:cs="Bookman Old Style"/>
          <w:sz w:val="18"/>
          <w:szCs w:val="18"/>
        </w:rPr>
        <w:t xml:space="preserve"> saldo prezzo e con le medesime modalità sopra indicate, l’aggiudicatario depositi una somma a titolo forfettario per gli oneri e le spese di vendita che restano in ogni caso a carico dell’aggiudicatario (somma pari al venti per cento 20% del prezzo di agg</w:t>
      </w:r>
      <w:r>
        <w:rPr>
          <w:rFonts w:ascii="Bookman Old Style" w:eastAsia="Bookman Old Style" w:hAnsi="Bookman Old Style" w:cs="Bookman Old Style"/>
          <w:sz w:val="18"/>
          <w:szCs w:val="18"/>
        </w:rPr>
        <w:t>iudicazione, salva diversa determinazione a cura del professionista);</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in ogni caso, all’esito delle operazioni di registrazione e trascrizione del decreto di trasferimento, il professionista rediga prospetto riepilogativo delle spese a carico d</w:t>
      </w:r>
      <w:r>
        <w:rPr>
          <w:rFonts w:ascii="Bookman Old Style" w:eastAsia="Bookman Old Style" w:hAnsi="Bookman Old Style" w:cs="Bookman Old Style"/>
          <w:sz w:val="18"/>
          <w:szCs w:val="18"/>
        </w:rPr>
        <w:t>ell’aggiudicatario (ivi compresa la quota del compenso ai sensi del D.M. n. 227 del 2015) e proceda alla restituzione di quanto versato in eccedenza;</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e per l’effetto:</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AUTORIZZA </w:t>
      </w:r>
      <w:r>
        <w:rPr>
          <w:rFonts w:ascii="Bookman Old Style" w:eastAsia="Bookman Old Style" w:hAnsi="Bookman Old Style" w:cs="Bookman Old Style"/>
          <w:sz w:val="18"/>
          <w:szCs w:val="18"/>
        </w:rPr>
        <w:t>il professionista delegato ad operare la restituzione nei termini sop</w:t>
      </w:r>
      <w:r>
        <w:rPr>
          <w:rFonts w:ascii="Bookman Old Style" w:eastAsia="Bookman Old Style" w:hAnsi="Bookman Old Style" w:cs="Bookman Old Style"/>
          <w:sz w:val="18"/>
          <w:szCs w:val="18"/>
        </w:rPr>
        <w:t xml:space="preserve">ra indicati con disposizione di bonifico a valere sul conto corrente intestato alla procedura; </w:t>
      </w:r>
    </w:p>
    <w:p w:rsidR="006F5198" w:rsidRDefault="002707DA" w:rsidP="004D0B9A">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Regime della vendita</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PRECISA:</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la vendita ha luogo nello stato di fatto e di diritto in cui i beni si trovano, con tutte le eventuali pertin</w:t>
      </w:r>
      <w:r>
        <w:rPr>
          <w:rFonts w:ascii="Bookman Old Style" w:eastAsia="Bookman Old Style" w:hAnsi="Bookman Old Style" w:cs="Bookman Old Style"/>
          <w:sz w:val="18"/>
          <w:szCs w:val="18"/>
        </w:rPr>
        <w:t>enze, accessioni, ragioni ed azioni, servitù attive e passive;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il bene è venduto libero da iscrizioni ipotecarie e da trascrizioni di pignoramenti e che, laddove esistenti al momento della vendita, eventuali iscrizioni e trascrizioni saranno can</w:t>
      </w:r>
      <w:r>
        <w:rPr>
          <w:rFonts w:ascii="Bookman Old Style" w:eastAsia="Bookman Old Style" w:hAnsi="Bookman Old Style" w:cs="Bookman Old Style"/>
          <w:sz w:val="18"/>
          <w:szCs w:val="18"/>
        </w:rPr>
        <w:t>cellate a spese e cura della procedura;</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la liberazione dell’immobile, laddove occupato dal debitore o da terzi senza titolo opponibile, sarà effettuata a cura del custode giudiziario, salvo che l’aggiudicatario lo esoneri;</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ogni onere fiscale e/o tributario derivante dalla vendita è a carico del soggetto aggiudicatario;</w:t>
      </w:r>
    </w:p>
    <w:p w:rsidR="006F5198" w:rsidRDefault="002707DA" w:rsidP="004D0B9A">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Rinvio</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DISPONE </w:t>
      </w:r>
      <w:r>
        <w:rPr>
          <w:rFonts w:ascii="Bookman Old Style" w:eastAsia="Bookman Old Style" w:hAnsi="Bookman Old Style" w:cs="Bookman Old Style"/>
          <w:sz w:val="18"/>
          <w:szCs w:val="18"/>
        </w:rPr>
        <w:t>che, per tutto quanto qui non espressamente previsto, si applichino le vigenti norme di legge.</w:t>
      </w:r>
    </w:p>
    <w:p w:rsidR="006F5198" w:rsidRDefault="006F5198" w:rsidP="004D0B9A">
      <w:pPr>
        <w:spacing w:after="120" w:line="360" w:lineRule="auto"/>
        <w:ind w:left="0" w:hanging="2"/>
        <w:jc w:val="both"/>
        <w:rPr>
          <w:rFonts w:ascii="Bookman Old Style" w:eastAsia="Bookman Old Style" w:hAnsi="Bookman Old Style" w:cs="Bookman Old Style"/>
          <w:sz w:val="18"/>
          <w:szCs w:val="18"/>
        </w:rPr>
      </w:pPr>
    </w:p>
    <w:p w:rsidR="006F5198" w:rsidRDefault="002707DA" w:rsidP="004D0B9A">
      <w:pPr>
        <w:numPr>
          <w:ilvl w:val="0"/>
          <w:numId w:val="5"/>
        </w:numPr>
        <w:spacing w:line="360" w:lineRule="auto"/>
        <w:ind w:left="0" w:hanging="2"/>
        <w:contextualSpacing/>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u w:val="single"/>
        </w:rPr>
        <w:t>MODALITA’ DELLA VENDITA TELEMATICA</w:t>
      </w:r>
    </w:p>
    <w:p w:rsidR="006F5198" w:rsidRDefault="002707DA" w:rsidP="004D0B9A">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Disposizioni generali</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r>
        <w:rPr>
          <w:rFonts w:ascii="Bookman Old Style" w:eastAsia="Bookman Old Style" w:hAnsi="Bookman Old Style" w:cs="Bookman Old Style"/>
          <w:sz w:val="18"/>
          <w:szCs w:val="18"/>
        </w:rPr>
        <w:t>:</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il </w:t>
      </w:r>
      <w:r>
        <w:rPr>
          <w:rFonts w:ascii="Bookman Old Style" w:eastAsia="Bookman Old Style" w:hAnsi="Bookman Old Style" w:cs="Bookman Old Style"/>
          <w:b/>
          <w:sz w:val="18"/>
          <w:szCs w:val="18"/>
        </w:rPr>
        <w:t>GESTORE DELLA VENDITA TELEMATICA</w:t>
      </w:r>
      <w:r>
        <w:rPr>
          <w:rFonts w:ascii="Bookman Old Style" w:eastAsia="Bookman Old Style" w:hAnsi="Bookman Old Style" w:cs="Bookman Old Style"/>
          <w:sz w:val="18"/>
          <w:szCs w:val="18"/>
        </w:rPr>
        <w:t xml:space="preserve"> sia la </w:t>
      </w:r>
      <w:r>
        <w:rPr>
          <w:rFonts w:ascii="Bookman Old Style" w:eastAsia="Bookman Old Style" w:hAnsi="Bookman Old Style" w:cs="Bookman Old Style"/>
          <w:sz w:val="18"/>
          <w:szCs w:val="18"/>
          <w:highlight w:val="yellow"/>
        </w:rPr>
        <w:t>società di seguito indicata: ;</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il </w:t>
      </w:r>
      <w:r>
        <w:rPr>
          <w:rFonts w:ascii="Bookman Old Style" w:eastAsia="Bookman Old Style" w:hAnsi="Bookman Old Style" w:cs="Bookman Old Style"/>
          <w:b/>
          <w:sz w:val="18"/>
          <w:szCs w:val="18"/>
        </w:rPr>
        <w:t>PORTALE</w:t>
      </w:r>
      <w:r>
        <w:rPr>
          <w:rFonts w:ascii="Bookman Old Style" w:eastAsia="Bookman Old Style" w:hAnsi="Bookman Old Style" w:cs="Bookman Old Style"/>
          <w:sz w:val="18"/>
          <w:szCs w:val="18"/>
        </w:rPr>
        <w:t xml:space="preserve"> del gestore della vendita telematica sia il </w:t>
      </w:r>
      <w:r>
        <w:rPr>
          <w:rFonts w:ascii="Bookman Old Style" w:eastAsia="Bookman Old Style" w:hAnsi="Bookman Old Style" w:cs="Bookman Old Style"/>
          <w:sz w:val="18"/>
          <w:szCs w:val="18"/>
          <w:highlight w:val="yellow"/>
        </w:rPr>
        <w:t>sito di seguito indicato: ;</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il </w:t>
      </w:r>
      <w:r>
        <w:rPr>
          <w:rFonts w:ascii="Bookman Old Style" w:eastAsia="Bookman Old Style" w:hAnsi="Bookman Old Style" w:cs="Bookman Old Style"/>
          <w:b/>
          <w:sz w:val="18"/>
          <w:szCs w:val="18"/>
        </w:rPr>
        <w:t>REFERENTE DELLA PROCEDURA</w:t>
      </w:r>
      <w:r>
        <w:rPr>
          <w:rFonts w:ascii="Bookman Old Style" w:eastAsia="Bookman Old Style" w:hAnsi="Bookman Old Style" w:cs="Bookman Old Style"/>
          <w:sz w:val="18"/>
          <w:szCs w:val="18"/>
        </w:rPr>
        <w:t xml:space="preserve"> incaricato delle operazioni di vendita sia il professionista delegato;</w:t>
      </w:r>
    </w:p>
    <w:p w:rsidR="006F5198" w:rsidRDefault="002707DA" w:rsidP="004D0B9A">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Offerta</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l’offerta possa essere formulata esclusivamente con modalità telematiche tramite il </w:t>
      </w:r>
      <w:r>
        <w:rPr>
          <w:rFonts w:ascii="Bookman Old Style" w:eastAsia="Bookman Old Style" w:hAnsi="Bookman Old Style" w:cs="Bookman Old Style"/>
          <w:b/>
          <w:sz w:val="18"/>
          <w:szCs w:val="18"/>
        </w:rPr>
        <w:t>modulo web “Offerta Tele</w:t>
      </w:r>
      <w:r>
        <w:rPr>
          <w:rFonts w:ascii="Bookman Old Style" w:eastAsia="Bookman Old Style" w:hAnsi="Bookman Old Style" w:cs="Bookman Old Style"/>
          <w:b/>
          <w:sz w:val="18"/>
          <w:szCs w:val="18"/>
        </w:rPr>
        <w:t>matica”</w:t>
      </w:r>
      <w:r>
        <w:rPr>
          <w:rFonts w:ascii="Bookman Old Style" w:eastAsia="Bookman Old Style" w:hAnsi="Bookman Old Style" w:cs="Bookman Old Style"/>
          <w:sz w:val="18"/>
          <w:szCs w:val="18"/>
        </w:rPr>
        <w:t xml:space="preserve"> fornito dal Ministero della Giustizia ed a cui è possibile accedere anche dal portale del gestore della vendita;</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bookmarkStart w:id="10" w:name="_2s8eyo1" w:colFirst="0" w:colLast="0"/>
      <w:bookmarkEnd w:id="10"/>
      <w:r>
        <w:rPr>
          <w:rFonts w:ascii="Bookman Old Style" w:eastAsia="Bookman Old Style" w:hAnsi="Bookman Old Style" w:cs="Bookman Old Style"/>
          <w:sz w:val="18"/>
          <w:szCs w:val="18"/>
        </w:rPr>
        <w:t xml:space="preserve">     - che all’offerta siano </w:t>
      </w:r>
      <w:r>
        <w:rPr>
          <w:rFonts w:ascii="Bookman Old Style" w:eastAsia="Bookman Old Style" w:hAnsi="Bookman Old Style" w:cs="Bookman Old Style"/>
          <w:b/>
          <w:sz w:val="18"/>
          <w:szCs w:val="18"/>
        </w:rPr>
        <w:t>allegati</w:t>
      </w:r>
      <w:r>
        <w:rPr>
          <w:rFonts w:ascii="Bookman Old Style" w:eastAsia="Bookman Old Style" w:hAnsi="Bookman Old Style" w:cs="Bookman Old Style"/>
          <w:sz w:val="18"/>
          <w:szCs w:val="18"/>
        </w:rPr>
        <w:t>:</w:t>
      </w:r>
      <w:r>
        <w:rPr>
          <w:rFonts w:ascii="Bookman Old Style" w:eastAsia="Bookman Old Style" w:hAnsi="Bookman Old Style" w:cs="Bookman Old Style"/>
          <w:b/>
          <w:sz w:val="18"/>
          <w:szCs w:val="18"/>
        </w:rPr>
        <w:t xml:space="preserve"> </w:t>
      </w:r>
      <w:r>
        <w:rPr>
          <w:rFonts w:ascii="Bookman Old Style" w:eastAsia="Bookman Old Style" w:hAnsi="Bookman Old Style" w:cs="Bookman Old Style"/>
          <w:sz w:val="18"/>
          <w:szCs w:val="18"/>
        </w:rPr>
        <w:t>a) la documentazione attestante il versamento (segnatamente, copia della contabile di avvenuto p</w:t>
      </w:r>
      <w:r>
        <w:rPr>
          <w:rFonts w:ascii="Bookman Old Style" w:eastAsia="Bookman Old Style" w:hAnsi="Bookman Old Style" w:cs="Bookman Old Style"/>
          <w:sz w:val="18"/>
          <w:szCs w:val="18"/>
        </w:rPr>
        <w:t>agamento) effettuato tramite bonifico bancario sul conto della procedura dell’importo della cauzione;</w:t>
      </w:r>
      <w:r>
        <w:rPr>
          <w:rFonts w:ascii="Bookman Old Style" w:eastAsia="Bookman Old Style" w:hAnsi="Bookman Old Style" w:cs="Bookman Old Style"/>
          <w:b/>
          <w:sz w:val="18"/>
          <w:szCs w:val="18"/>
        </w:rPr>
        <w:t xml:space="preserve"> </w:t>
      </w:r>
      <w:r>
        <w:rPr>
          <w:rFonts w:ascii="Bookman Old Style" w:eastAsia="Bookman Old Style" w:hAnsi="Bookman Old Style" w:cs="Bookman Old Style"/>
          <w:sz w:val="18"/>
          <w:szCs w:val="18"/>
        </w:rPr>
        <w:t>b) se il soggetto offerente è coniugato in regime di comunione legale dei beni, copia del documento d’identità e copia del codice fiscale del coniuge (sal</w:t>
      </w:r>
      <w:r>
        <w:rPr>
          <w:rFonts w:ascii="Bookman Old Style" w:eastAsia="Bookman Old Style" w:hAnsi="Bookman Old Style" w:cs="Bookman Old Style"/>
          <w:sz w:val="18"/>
          <w:szCs w:val="18"/>
        </w:rPr>
        <w:t>vo la facoltà del deposito successivo all’esito dell’aggiudicazione e del versamento del prezzo);</w:t>
      </w:r>
      <w:r>
        <w:rPr>
          <w:rFonts w:ascii="Bookman Old Style" w:eastAsia="Bookman Old Style" w:hAnsi="Bookman Old Style" w:cs="Bookman Old Style"/>
          <w:b/>
          <w:sz w:val="18"/>
          <w:szCs w:val="18"/>
        </w:rPr>
        <w:t xml:space="preserve"> </w:t>
      </w:r>
      <w:r>
        <w:rPr>
          <w:rFonts w:ascii="Bookman Old Style" w:eastAsia="Bookman Old Style" w:hAnsi="Bookman Old Style" w:cs="Bookman Old Style"/>
          <w:sz w:val="18"/>
          <w:szCs w:val="18"/>
        </w:rPr>
        <w:t>c) se il soggetto offerente è minorenne o interdetto o inabilitato, copia del documento d’identità e copia del codice fiscale del soggetto offerente e del sog</w:t>
      </w:r>
      <w:r>
        <w:rPr>
          <w:rFonts w:ascii="Bookman Old Style" w:eastAsia="Bookman Old Style" w:hAnsi="Bookman Old Style" w:cs="Bookman Old Style"/>
          <w:sz w:val="18"/>
          <w:szCs w:val="18"/>
        </w:rPr>
        <w:t>getto che sottoscrive l’offerta, nonché copia del provvedimento di autorizzazione;</w:t>
      </w:r>
      <w:r>
        <w:rPr>
          <w:rFonts w:ascii="Bookman Old Style" w:eastAsia="Bookman Old Style" w:hAnsi="Bookman Old Style" w:cs="Bookman Old Style"/>
          <w:b/>
          <w:sz w:val="18"/>
          <w:szCs w:val="18"/>
        </w:rPr>
        <w:t xml:space="preserve"> </w:t>
      </w:r>
      <w:r>
        <w:rPr>
          <w:rFonts w:ascii="Bookman Old Style" w:eastAsia="Bookman Old Style" w:hAnsi="Bookman Old Style" w:cs="Bookman Old Style"/>
          <w:sz w:val="18"/>
          <w:szCs w:val="18"/>
        </w:rPr>
        <w:t>d) se il soggetto offerente è una società o persona giuridica, copia del documento (ad esempio, certificato del registro delle imprese) da cui risultino i poteri ovvero la p</w:t>
      </w:r>
      <w:r>
        <w:rPr>
          <w:rFonts w:ascii="Bookman Old Style" w:eastAsia="Bookman Old Style" w:hAnsi="Bookman Old Style" w:cs="Bookman Old Style"/>
          <w:sz w:val="18"/>
          <w:szCs w:val="18"/>
        </w:rPr>
        <w:t>rocura o l’atto di nomina che giustifichi i poteri;</w:t>
      </w:r>
      <w:r>
        <w:rPr>
          <w:rFonts w:ascii="Bookman Old Style" w:eastAsia="Bookman Old Style" w:hAnsi="Bookman Old Style" w:cs="Bookman Old Style"/>
          <w:b/>
          <w:sz w:val="18"/>
          <w:szCs w:val="18"/>
        </w:rPr>
        <w:t xml:space="preserve"> </w:t>
      </w:r>
      <w:r>
        <w:rPr>
          <w:rFonts w:ascii="Bookman Old Style" w:eastAsia="Bookman Old Style" w:hAnsi="Bookman Old Style" w:cs="Bookman Old Style"/>
          <w:sz w:val="18"/>
          <w:szCs w:val="18"/>
        </w:rPr>
        <w:t xml:space="preserve">e) se l’offerta è formulata da più </w:t>
      </w:r>
      <w:r>
        <w:rPr>
          <w:rFonts w:ascii="Bookman Old Style" w:eastAsia="Bookman Old Style" w:hAnsi="Bookman Old Style" w:cs="Bookman Old Style"/>
          <w:sz w:val="18"/>
          <w:szCs w:val="18"/>
        </w:rPr>
        <w:lastRenderedPageBreak/>
        <w:t>persone, copia anche per immagine della procura rilasciata dagli altri offerenti per atto pubblico o scrittura privata autenticata rilasciata al soggetto che effettua l’</w:t>
      </w:r>
      <w:r>
        <w:rPr>
          <w:rFonts w:ascii="Bookman Old Style" w:eastAsia="Bookman Old Style" w:hAnsi="Bookman Old Style" w:cs="Bookman Old Style"/>
          <w:sz w:val="18"/>
          <w:szCs w:val="18"/>
        </w:rPr>
        <w:t>offerta;</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per la </w:t>
      </w:r>
      <w:r>
        <w:rPr>
          <w:rFonts w:ascii="Bookman Old Style" w:eastAsia="Bookman Old Style" w:hAnsi="Bookman Old Style" w:cs="Bookman Old Style"/>
          <w:b/>
          <w:sz w:val="18"/>
          <w:szCs w:val="18"/>
        </w:rPr>
        <w:t>sottoscrizione e trasmissione</w:t>
      </w:r>
      <w:r>
        <w:rPr>
          <w:rFonts w:ascii="Bookman Old Style" w:eastAsia="Bookman Old Style" w:hAnsi="Bookman Old Style" w:cs="Bookman Old Style"/>
          <w:sz w:val="18"/>
          <w:szCs w:val="18"/>
        </w:rPr>
        <w:t xml:space="preserve">, in via alternativa, l’offerta: a) sia sottoscritta con </w:t>
      </w:r>
      <w:r>
        <w:rPr>
          <w:rFonts w:ascii="Bookman Old Style" w:eastAsia="Bookman Old Style" w:hAnsi="Bookman Old Style" w:cs="Bookman Old Style"/>
          <w:i/>
          <w:sz w:val="18"/>
          <w:szCs w:val="18"/>
        </w:rPr>
        <w:t>firma digitale</w:t>
      </w:r>
      <w:r>
        <w:rPr>
          <w:rFonts w:ascii="Bookman Old Style" w:eastAsia="Bookman Old Style" w:hAnsi="Bookman Old Style" w:cs="Bookman Old Style"/>
          <w:sz w:val="18"/>
          <w:szCs w:val="18"/>
        </w:rPr>
        <w:t xml:space="preserve"> e trasmessa a mezzo di </w:t>
      </w:r>
      <w:r>
        <w:rPr>
          <w:rFonts w:ascii="Bookman Old Style" w:eastAsia="Bookman Old Style" w:hAnsi="Bookman Old Style" w:cs="Bookman Old Style"/>
          <w:i/>
          <w:sz w:val="18"/>
          <w:szCs w:val="18"/>
        </w:rPr>
        <w:t>casella di posta elettronica certificata</w:t>
      </w:r>
      <w:r>
        <w:rPr>
          <w:rFonts w:ascii="Bookman Old Style" w:eastAsia="Bookman Old Style" w:hAnsi="Bookman Old Style" w:cs="Bookman Old Style"/>
          <w:sz w:val="18"/>
          <w:szCs w:val="18"/>
        </w:rPr>
        <w:t xml:space="preserve">; oppure: b) sia direttamente trasmessa a mezzo di </w:t>
      </w:r>
      <w:r>
        <w:rPr>
          <w:rFonts w:ascii="Bookman Old Style" w:eastAsia="Bookman Old Style" w:hAnsi="Bookman Old Style" w:cs="Bookman Old Style"/>
          <w:i/>
          <w:sz w:val="18"/>
          <w:szCs w:val="18"/>
        </w:rPr>
        <w:t>casella di posta elettronica certificata per la vendita telematica</w:t>
      </w:r>
      <w:r>
        <w:rPr>
          <w:rFonts w:ascii="Bookman Old Style" w:eastAsia="Bookman Old Style" w:hAnsi="Bookman Old Style" w:cs="Bookman Old Style"/>
          <w:sz w:val="18"/>
          <w:szCs w:val="18"/>
        </w:rPr>
        <w:t xml:space="preserve"> ai sensi dell’art. 12, comma 4 e dell’art. 13 del D.M. n. 32 del 2015, con la precisazione che, in tal caso, la trasmissione sostituisce la</w:t>
      </w:r>
      <w:r>
        <w:rPr>
          <w:rFonts w:ascii="Bookman Old Style" w:eastAsia="Bookman Old Style" w:hAnsi="Bookman Old Style" w:cs="Bookman Old Style"/>
          <w:i/>
          <w:sz w:val="18"/>
          <w:szCs w:val="18"/>
        </w:rPr>
        <w:t xml:space="preserve"> </w:t>
      </w:r>
      <w:r>
        <w:rPr>
          <w:rFonts w:ascii="Bookman Old Style" w:eastAsia="Bookman Old Style" w:hAnsi="Bookman Old Style" w:cs="Bookman Old Style"/>
          <w:sz w:val="18"/>
          <w:szCs w:val="18"/>
        </w:rPr>
        <w:t>firma dell’offerta a condizione che: l’invio sia</w:t>
      </w:r>
      <w:r>
        <w:rPr>
          <w:rFonts w:ascii="Bookman Old Style" w:eastAsia="Bookman Old Style" w:hAnsi="Bookman Old Style" w:cs="Bookman Old Style"/>
          <w:i/>
          <w:sz w:val="18"/>
          <w:szCs w:val="18"/>
        </w:rPr>
        <w:t xml:space="preserve"> </w:t>
      </w:r>
      <w:r>
        <w:rPr>
          <w:rFonts w:ascii="Bookman Old Style" w:eastAsia="Bookman Old Style" w:hAnsi="Bookman Old Style" w:cs="Bookman Old Style"/>
          <w:sz w:val="18"/>
          <w:szCs w:val="18"/>
        </w:rPr>
        <w:t>avvenuto richiedendo la ricevuta completa di avvenuta consegna di cui</w:t>
      </w:r>
      <w:r>
        <w:rPr>
          <w:rFonts w:ascii="Bookman Old Style" w:eastAsia="Bookman Old Style" w:hAnsi="Bookman Old Style" w:cs="Bookman Old Style"/>
          <w:i/>
          <w:sz w:val="18"/>
          <w:szCs w:val="18"/>
        </w:rPr>
        <w:t xml:space="preserve"> </w:t>
      </w:r>
      <w:r>
        <w:rPr>
          <w:rFonts w:ascii="Bookman Old Style" w:eastAsia="Bookman Old Style" w:hAnsi="Bookman Old Style" w:cs="Bookman Old Style"/>
          <w:sz w:val="18"/>
          <w:szCs w:val="18"/>
        </w:rPr>
        <w:t>all’art. 6, comma 4 del D.P.R. n. 68 del 2005; il gestore del servizio di posta</w:t>
      </w:r>
      <w:r>
        <w:rPr>
          <w:rFonts w:ascii="Bookman Old Style" w:eastAsia="Bookman Old Style" w:hAnsi="Bookman Old Style" w:cs="Bookman Old Style"/>
          <w:i/>
          <w:sz w:val="18"/>
          <w:szCs w:val="18"/>
        </w:rPr>
        <w:t xml:space="preserve"> </w:t>
      </w:r>
      <w:r>
        <w:rPr>
          <w:rFonts w:ascii="Bookman Old Style" w:eastAsia="Bookman Old Style" w:hAnsi="Bookman Old Style" w:cs="Bookman Old Style"/>
          <w:sz w:val="18"/>
          <w:szCs w:val="18"/>
        </w:rPr>
        <w:t>elettronica certificata attesti nel messaggio o in un suo allegato di aver rilasciato le credenziali di ac</w:t>
      </w:r>
      <w:r>
        <w:rPr>
          <w:rFonts w:ascii="Bookman Old Style" w:eastAsia="Bookman Old Style" w:hAnsi="Bookman Old Style" w:cs="Bookman Old Style"/>
          <w:sz w:val="18"/>
          <w:szCs w:val="18"/>
        </w:rPr>
        <w:t>cesso previa identificazione del richiedente (fermo restando che tale seconda modalità di sottoscrizione e trasmissione dell’offerta sarà concretamente operativa una volta che saranno eseguite a cura del Ministero della Giustizia le formalità di cui all’ar</w:t>
      </w:r>
      <w:r>
        <w:rPr>
          <w:rFonts w:ascii="Bookman Old Style" w:eastAsia="Bookman Old Style" w:hAnsi="Bookman Old Style" w:cs="Bookman Old Style"/>
          <w:sz w:val="18"/>
          <w:szCs w:val="18"/>
        </w:rPr>
        <w:t>t. 13, comma 4 del D.M. n. 32 del 2015);</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in particolare, l’offerta ed i relativi documenti allegati sia inviata all’indirizzo PEC del Ministero della Giustizia </w:t>
      </w:r>
      <w:hyperlink r:id="rId9">
        <w:r>
          <w:rPr>
            <w:rFonts w:ascii="Bookman Old Style" w:eastAsia="Bookman Old Style" w:hAnsi="Bookman Old Style" w:cs="Bookman Old Style"/>
            <w:color w:val="0000FF"/>
            <w:sz w:val="18"/>
            <w:szCs w:val="18"/>
            <w:u w:val="single"/>
          </w:rPr>
          <w:t>offertapvp.dgsia@giustiz</w:t>
        </w:r>
        <w:r>
          <w:rPr>
            <w:rFonts w:ascii="Bookman Old Style" w:eastAsia="Bookman Old Style" w:hAnsi="Bookman Old Style" w:cs="Bookman Old Style"/>
            <w:color w:val="0000FF"/>
            <w:sz w:val="18"/>
            <w:szCs w:val="18"/>
            <w:u w:val="single"/>
          </w:rPr>
          <w:t>iacert.it</w:t>
        </w:r>
      </w:hyperlink>
      <w:r>
        <w:rPr>
          <w:rFonts w:ascii="Bookman Old Style" w:eastAsia="Bookman Old Style" w:hAnsi="Bookman Old Style" w:cs="Bookman Old Style"/>
          <w:sz w:val="18"/>
          <w:szCs w:val="18"/>
        </w:rPr>
        <w:t>, con la precisazione che: a) l’offerta si intende depositata nel momento in cui viene generata la ricevuta completa di avvenuta consegna da parte del gestore di posta elettronica certificata del Ministero della Giustizia; b) l’offerente deve proc</w:t>
      </w:r>
      <w:r>
        <w:rPr>
          <w:rFonts w:ascii="Bookman Old Style" w:eastAsia="Bookman Old Style" w:hAnsi="Bookman Old Style" w:cs="Bookman Old Style"/>
          <w:sz w:val="18"/>
          <w:szCs w:val="18"/>
        </w:rPr>
        <w:t>edere al pagamento del bollo dovuto per legge con modalità telematica (segnatamente, tramite bonifico bancario o carta di credito), fermo restando che il mancato versamento del bollo non determina l’inammissibilità dell’offerta (salvo l’avvio delle procedu</w:t>
      </w:r>
      <w:r>
        <w:rPr>
          <w:rFonts w:ascii="Bookman Old Style" w:eastAsia="Bookman Old Style" w:hAnsi="Bookman Old Style" w:cs="Bookman Old Style"/>
          <w:sz w:val="18"/>
          <w:szCs w:val="18"/>
        </w:rPr>
        <w:t>re per il recupero coattivo);</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nei casi programmati di mancato funzionamento dei sistemi informativi del dominio giustizia comunicati al gestore della vendita telematica dal responsabile per i sistemi informativi automatizzati del Ministero dell</w:t>
      </w:r>
      <w:r>
        <w:rPr>
          <w:rFonts w:ascii="Bookman Old Style" w:eastAsia="Bookman Old Style" w:hAnsi="Bookman Old Style" w:cs="Bookman Old Style"/>
          <w:sz w:val="18"/>
          <w:szCs w:val="18"/>
        </w:rPr>
        <w:t>a Giustizia ai sensi dell’art. 15, primo comma, D.M. n. 32 del 2015, l’offerta sia formulata mediante invio a mezzo posta elettronica certificata all’</w:t>
      </w:r>
      <w:r>
        <w:rPr>
          <w:rFonts w:ascii="Bookman Old Style" w:eastAsia="Bookman Old Style" w:hAnsi="Bookman Old Style" w:cs="Bookman Old Style"/>
          <w:sz w:val="18"/>
          <w:szCs w:val="18"/>
          <w:highlight w:val="yellow"/>
        </w:rPr>
        <w:t>indirizzo mail ;</w:t>
      </w:r>
      <w:r>
        <w:rPr>
          <w:rFonts w:ascii="Bookman Old Style" w:eastAsia="Bookman Old Style" w:hAnsi="Bookman Old Style" w:cs="Bookman Old Style"/>
          <w:sz w:val="18"/>
          <w:szCs w:val="18"/>
        </w:rPr>
        <w:t xml:space="preserve"> </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nei casi di mancato funzionamento dei sistemi informativi del dominio giustizia non programmati o non comunicati ai sensi dell’art. 15, primo comma, D.M. n. 32 del 2015, l’offerta si intende depositata nel momento in cui venga generata la ricev</w:t>
      </w:r>
      <w:r>
        <w:rPr>
          <w:rFonts w:ascii="Bookman Old Style" w:eastAsia="Bookman Old Style" w:hAnsi="Bookman Old Style" w:cs="Bookman Old Style"/>
          <w:sz w:val="18"/>
          <w:szCs w:val="18"/>
        </w:rPr>
        <w:t>uta di accettazione da parte del gestore di posta elettronica certificata del mittente e, in tale eventualità, previa documentazione a cura dell’offerente della tempestiva presentazione dell’offerta, il gestore della vendita è tenuto a permettere la partec</w:t>
      </w:r>
      <w:r>
        <w:rPr>
          <w:rFonts w:ascii="Bookman Old Style" w:eastAsia="Bookman Old Style" w:hAnsi="Bookman Old Style" w:cs="Bookman Old Style"/>
          <w:sz w:val="18"/>
          <w:szCs w:val="18"/>
        </w:rPr>
        <w:t xml:space="preserve">ipazione dell’offerente alle operazioni di vendita; </w:t>
      </w:r>
    </w:p>
    <w:p w:rsidR="006F5198" w:rsidRDefault="002707DA" w:rsidP="004D0B9A">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Cauzione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l’importo della cauzione (nella misura sopra indicata) sia versato esclusivamente tramite bonifico bancario sul conto corrente bancario intestato alla procedura;</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z w:val="18"/>
          <w:szCs w:val="18"/>
        </w:rPr>
        <w:t xml:space="preserve">   - che le coordinate IBAN del conto corrente bancario intestato alla procedura per il versamento della cauzione siano riportate nell’avviso di vendita a cura del professionista delegato;</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il bonifico sia effettuato a cura dell’offerente in modo</w:t>
      </w:r>
      <w:r>
        <w:rPr>
          <w:rFonts w:ascii="Bookman Old Style" w:eastAsia="Bookman Old Style" w:hAnsi="Bookman Old Style" w:cs="Bookman Old Style"/>
          <w:sz w:val="18"/>
          <w:szCs w:val="18"/>
        </w:rPr>
        <w:t xml:space="preserve"> tale da consentire l’accredito in tempo utile per le determinazioni sull’ammissibilità dell’offerta.</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 xml:space="preserve">     In particolare, qualora nel giorno fissato per la verifica di ammissibilità delle offerte e la delibazione sulle stesse il professionista non riscont</w:t>
      </w:r>
      <w:r>
        <w:rPr>
          <w:rFonts w:ascii="Bookman Old Style" w:eastAsia="Bookman Old Style" w:hAnsi="Bookman Old Style" w:cs="Bookman Old Style"/>
          <w:b/>
          <w:sz w:val="18"/>
          <w:szCs w:val="18"/>
        </w:rPr>
        <w:t>ri l’accredito delle somme sul conto corrente intestato alla procedura l’offerta sarà considerata inammissibile;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w:t>
      </w:r>
      <w:r>
        <w:rPr>
          <w:rFonts w:ascii="Bookman Old Style" w:eastAsia="Bookman Old Style" w:hAnsi="Bookman Old Style" w:cs="Bookman Old Style"/>
          <w:b/>
          <w:sz w:val="18"/>
          <w:szCs w:val="18"/>
        </w:rPr>
        <w:t xml:space="preserve"> </w:t>
      </w:r>
      <w:r>
        <w:rPr>
          <w:rFonts w:ascii="Bookman Old Style" w:eastAsia="Bookman Old Style" w:hAnsi="Bookman Old Style" w:cs="Bookman Old Style"/>
          <w:sz w:val="18"/>
          <w:szCs w:val="18"/>
        </w:rPr>
        <w:t>in caso di mancata aggiudicazione, l’importo versato a titolo di cauzione (al netto degli eventuali oneri bancari) sia restituito d</w:t>
      </w:r>
      <w:r>
        <w:rPr>
          <w:rFonts w:ascii="Bookman Old Style" w:eastAsia="Bookman Old Style" w:hAnsi="Bookman Old Style" w:cs="Bookman Old Style"/>
          <w:sz w:val="18"/>
          <w:szCs w:val="18"/>
        </w:rPr>
        <w:t>al professionista al soggetto offerente con disposizione di bonifico da eseguirsi nel termine di tre giorni lavorativi, con la precisazione che – nel caso in cui l’offerente sia ammesso alla gara – il termine sopra indicato per la restituzione della cauzio</w:t>
      </w:r>
      <w:r>
        <w:rPr>
          <w:rFonts w:ascii="Bookman Old Style" w:eastAsia="Bookman Old Style" w:hAnsi="Bookman Old Style" w:cs="Bookman Old Style"/>
          <w:sz w:val="18"/>
          <w:szCs w:val="18"/>
        </w:rPr>
        <w:t>ne decorrerà dalla deliberazione finale sulle offerte all’esito dei rilanci;</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lastRenderedPageBreak/>
        <w:t xml:space="preserve">     - che la restituzione della cauzione abbia luogo esclusivamente mediante disposizione di bonifico da eseguirsi in favore del conto corrente utilizzato dall’offerente per il versamento della cauzione e per l’effetto:</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AUTORIZZA </w:t>
      </w:r>
      <w:r>
        <w:rPr>
          <w:rFonts w:ascii="Bookman Old Style" w:eastAsia="Bookman Old Style" w:hAnsi="Bookman Old Style" w:cs="Bookman Old Style"/>
          <w:sz w:val="18"/>
          <w:szCs w:val="18"/>
        </w:rPr>
        <w:t>il professionista de</w:t>
      </w:r>
      <w:r>
        <w:rPr>
          <w:rFonts w:ascii="Bookman Old Style" w:eastAsia="Bookman Old Style" w:hAnsi="Bookman Old Style" w:cs="Bookman Old Style"/>
          <w:sz w:val="18"/>
          <w:szCs w:val="18"/>
        </w:rPr>
        <w:t>legato ad operare sul conto corrente intestato alla procedura al fine di procedere alla restituzione delle cauzioni versate dagli offerenti non aggiudicatari nei termini sopra precisati;</w:t>
      </w:r>
    </w:p>
    <w:p w:rsidR="006F5198" w:rsidRDefault="002707DA" w:rsidP="004D0B9A">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Esame delle offerte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 xml:space="preserve">     DISPONE: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l’esame delle offer</w:t>
      </w:r>
      <w:r>
        <w:rPr>
          <w:rFonts w:ascii="Bookman Old Style" w:eastAsia="Bookman Old Style" w:hAnsi="Bookman Old Style" w:cs="Bookman Old Style"/>
          <w:sz w:val="18"/>
          <w:szCs w:val="18"/>
        </w:rPr>
        <w:t>te sia effettuato tramite il portale del gestore della vendita telematica sopra indicato attraverso collegamento operato nella stanza assegnata ai professionisti delegati presso il Tribunale o presso lo studio del professionista delegato;</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le buste telematiche contenenti le offerte non siano aperte se non al momento dello svolgimento delle operazioni di vendita telematica sopra indicate;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la partecipazione degli offerenti alle udienze telematiche abbia luogo tramite l’ar</w:t>
      </w:r>
      <w:r>
        <w:rPr>
          <w:rFonts w:ascii="Bookman Old Style" w:eastAsia="Bookman Old Style" w:hAnsi="Bookman Old Style" w:cs="Bookman Old Style"/>
          <w:sz w:val="18"/>
          <w:szCs w:val="18"/>
        </w:rPr>
        <w:t>ea riservata del portale del gestore della vendita telematica sopra indicato, accedendo alla stessa con le credenziali personali ed in base alle istruzioni ricevute – almeno trenta minuti prima dell’inizio delle operazioni di vendita – con comunicazione ef</w:t>
      </w:r>
      <w:r>
        <w:rPr>
          <w:rFonts w:ascii="Bookman Old Style" w:eastAsia="Bookman Old Style" w:hAnsi="Bookman Old Style" w:cs="Bookman Old Style"/>
          <w:sz w:val="18"/>
          <w:szCs w:val="18"/>
        </w:rPr>
        <w:t>fettuata alla casella di posta elettronica certificata od alla casella di posta elettronica certificata per la vendita telematica utilizzata per trasmettere l’offerta;</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nel giorno e nell’ora fissati per l’esame delle offerte il professionista:</w:t>
      </w:r>
    </w:p>
    <w:p w:rsidR="006F5198" w:rsidRDefault="002707DA" w:rsidP="004D0B9A">
      <w:pPr>
        <w:numPr>
          <w:ilvl w:val="0"/>
          <w:numId w:val="9"/>
        </w:numPr>
        <w:spacing w:line="360" w:lineRule="auto"/>
        <w:ind w:left="0" w:hanging="2"/>
        <w:contextualSpacing/>
        <w:jc w:val="both"/>
        <w:rPr>
          <w:sz w:val="18"/>
          <w:szCs w:val="18"/>
        </w:rPr>
      </w:pPr>
      <w:r>
        <w:rPr>
          <w:rFonts w:ascii="Bookman Old Style" w:eastAsia="Bookman Old Style" w:hAnsi="Bookman Old Style" w:cs="Bookman Old Style"/>
          <w:sz w:val="18"/>
          <w:szCs w:val="18"/>
        </w:rPr>
        <w:t>ve</w:t>
      </w:r>
      <w:r>
        <w:rPr>
          <w:rFonts w:ascii="Bookman Old Style" w:eastAsia="Bookman Old Style" w:hAnsi="Bookman Old Style" w:cs="Bookman Old Style"/>
          <w:sz w:val="18"/>
          <w:szCs w:val="18"/>
        </w:rPr>
        <w:t>rifichi le offerte formulate e la correttezza e completezza delle informazioni e dei documenti richiesti;</w:t>
      </w:r>
    </w:p>
    <w:p w:rsidR="006F5198" w:rsidRDefault="002707DA" w:rsidP="004D0B9A">
      <w:pPr>
        <w:numPr>
          <w:ilvl w:val="0"/>
          <w:numId w:val="9"/>
        </w:numPr>
        <w:spacing w:line="360" w:lineRule="auto"/>
        <w:ind w:left="0" w:hanging="2"/>
        <w:contextualSpacing/>
        <w:jc w:val="both"/>
        <w:rPr>
          <w:sz w:val="18"/>
          <w:szCs w:val="18"/>
        </w:rPr>
      </w:pPr>
      <w:r>
        <w:rPr>
          <w:rFonts w:ascii="Bookman Old Style" w:eastAsia="Bookman Old Style" w:hAnsi="Bookman Old Style" w:cs="Bookman Old Style"/>
          <w:sz w:val="18"/>
          <w:szCs w:val="18"/>
        </w:rPr>
        <w:t>verifichi l’effettivo accredito dell’importo comprensivo della cauzione entro i termini sopra indicati;</w:t>
      </w:r>
    </w:p>
    <w:p w:rsidR="006F5198" w:rsidRDefault="002707DA" w:rsidP="004D0B9A">
      <w:pPr>
        <w:numPr>
          <w:ilvl w:val="0"/>
          <w:numId w:val="9"/>
        </w:numPr>
        <w:spacing w:line="360" w:lineRule="auto"/>
        <w:ind w:left="0" w:hanging="2"/>
        <w:contextualSpacing/>
        <w:jc w:val="both"/>
        <w:rPr>
          <w:sz w:val="18"/>
          <w:szCs w:val="18"/>
        </w:rPr>
      </w:pPr>
      <w:r>
        <w:rPr>
          <w:rFonts w:ascii="Bookman Old Style" w:eastAsia="Bookman Old Style" w:hAnsi="Bookman Old Style" w:cs="Bookman Old Style"/>
          <w:sz w:val="18"/>
          <w:szCs w:val="18"/>
        </w:rPr>
        <w:t xml:space="preserve">proceda conseguentemente all’abilitazione dei </w:t>
      </w:r>
      <w:r>
        <w:rPr>
          <w:rFonts w:ascii="Bookman Old Style" w:eastAsia="Bookman Old Style" w:hAnsi="Bookman Old Style" w:cs="Bookman Old Style"/>
          <w:sz w:val="18"/>
          <w:szCs w:val="18"/>
        </w:rPr>
        <w:t>partecipanti per l’eventuale gara tramite l’area riservata del sito internet sopra indicato;</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in ogni caso, i dati personali di ciascun offerente non siano visibili agli altri offerenti ed alle parti della procedura sino alla chiusura definitiva</w:t>
      </w:r>
      <w:r>
        <w:rPr>
          <w:rFonts w:ascii="Bookman Old Style" w:eastAsia="Bookman Old Style" w:hAnsi="Bookman Old Style" w:cs="Bookman Old Style"/>
          <w:sz w:val="18"/>
          <w:szCs w:val="18"/>
        </w:rPr>
        <w:t xml:space="preserve"> delle operazioni di vendita telematica e che il gestore della vendita telematica proceda a sostituire automaticamente gli stessi con pseudonimi o altri elementi distintivi in grado di assicurare l’anonimato;</w:t>
      </w:r>
    </w:p>
    <w:p w:rsidR="006F5198" w:rsidRDefault="002707DA" w:rsidP="004D0B9A">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Gara tra gli offerenti</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bookmarkStart w:id="11" w:name="_17dp8vu" w:colFirst="0" w:colLast="0"/>
      <w:bookmarkEnd w:id="11"/>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z w:val="18"/>
          <w:szCs w:val="18"/>
        </w:rPr>
        <w:t xml:space="preserve">- che la gara tra gli offerenti abbia luogo con la modalità della gara telematica asincrona sull’offerta più alta secondo il sistema della </w:t>
      </w:r>
      <w:r>
        <w:rPr>
          <w:rFonts w:ascii="Bookman Old Style" w:eastAsia="Bookman Old Style" w:hAnsi="Bookman Old Style" w:cs="Bookman Old Style"/>
          <w:b/>
          <w:sz w:val="18"/>
          <w:szCs w:val="18"/>
        </w:rPr>
        <w:t>UNICA OFFERTA SEGRETA</w:t>
      </w:r>
      <w:r>
        <w:rPr>
          <w:rFonts w:ascii="Bookman Old Style" w:eastAsia="Bookman Old Style" w:hAnsi="Bookman Old Style" w:cs="Bookman Old Style"/>
          <w:sz w:val="18"/>
          <w:szCs w:val="18"/>
        </w:rPr>
        <w:t>.</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In particolare: i) i partecipanti ammessi alla gara potranno formulare esclusivamente on-</w:t>
      </w:r>
      <w:r>
        <w:rPr>
          <w:rFonts w:ascii="Bookman Old Style" w:eastAsia="Bookman Old Style" w:hAnsi="Bookman Old Style" w:cs="Bookman Old Style"/>
          <w:sz w:val="18"/>
          <w:szCs w:val="18"/>
        </w:rPr>
        <w:t>line l’offerta in aumento tramite l’area riservata del portale del gestore della vendita telematica</w:t>
      </w:r>
      <w:r>
        <w:rPr>
          <w:rFonts w:ascii="Bookman Old Style" w:eastAsia="Bookman Old Style" w:hAnsi="Bookman Old Style" w:cs="Bookman Old Style"/>
          <w:color w:val="454545"/>
          <w:sz w:val="18"/>
          <w:szCs w:val="18"/>
        </w:rPr>
        <w:t>;</w:t>
      </w:r>
      <w:r>
        <w:rPr>
          <w:rFonts w:ascii="Bookman Old Style" w:eastAsia="Bookman Old Style" w:hAnsi="Bookman Old Style" w:cs="Bookman Old Style"/>
          <w:sz w:val="18"/>
          <w:szCs w:val="18"/>
        </w:rPr>
        <w:t xml:space="preserve"> ii) ogni partecipante potrà formulare un’UNICA ulteriore offerta nel periodo di durata della gara; iii) ogni partecipante potrà conoscere l’importo dell’of</w:t>
      </w:r>
      <w:r>
        <w:rPr>
          <w:rFonts w:ascii="Bookman Old Style" w:eastAsia="Bookman Old Style" w:hAnsi="Bookman Old Style" w:cs="Bookman Old Style"/>
          <w:sz w:val="18"/>
          <w:szCs w:val="18"/>
        </w:rPr>
        <w:t>ferta in aumento eventualmente formulata dagli altri partecipanti esclusivamente alla scadenza del termine di durata della gara;</w:t>
      </w:r>
      <w:r>
        <w:rPr>
          <w:rFonts w:ascii="Bookman Old Style" w:eastAsia="Bookman Old Style" w:hAnsi="Bookman Old Style" w:cs="Bookman Old Style"/>
          <w:color w:val="454545"/>
          <w:sz w:val="18"/>
          <w:szCs w:val="18"/>
        </w:rPr>
        <w:t xml:space="preserve"> </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la gara abbia la seguente durata:</w:t>
      </w:r>
    </w:p>
    <w:p w:rsidR="006F5198" w:rsidRDefault="002707DA" w:rsidP="004D0B9A">
      <w:pPr>
        <w:numPr>
          <w:ilvl w:val="0"/>
          <w:numId w:val="7"/>
        </w:numPr>
        <w:spacing w:line="360" w:lineRule="auto"/>
        <w:ind w:left="0" w:hanging="2"/>
        <w:contextualSpacing/>
        <w:jc w:val="both"/>
        <w:rPr>
          <w:sz w:val="18"/>
          <w:szCs w:val="18"/>
        </w:rPr>
      </w:pPr>
      <w:r>
        <w:rPr>
          <w:rFonts w:ascii="Bookman Old Style" w:eastAsia="Bookman Old Style" w:hAnsi="Bookman Old Style" w:cs="Bookman Old Style"/>
          <w:sz w:val="18"/>
          <w:szCs w:val="18"/>
        </w:rPr>
        <w:t>la gara avrà inizio nel momento in cui il professionista abbia completato le verifiche di ammissibilità delle offerte;</w:t>
      </w:r>
    </w:p>
    <w:p w:rsidR="006F5198" w:rsidRDefault="002707DA" w:rsidP="004D0B9A">
      <w:pPr>
        <w:numPr>
          <w:ilvl w:val="0"/>
          <w:numId w:val="7"/>
        </w:numPr>
        <w:spacing w:line="360" w:lineRule="auto"/>
        <w:ind w:left="0" w:hanging="2"/>
        <w:contextualSpacing/>
        <w:jc w:val="both"/>
        <w:rPr>
          <w:sz w:val="18"/>
          <w:szCs w:val="18"/>
        </w:rPr>
      </w:pPr>
      <w:r>
        <w:rPr>
          <w:rFonts w:ascii="Bookman Old Style" w:eastAsia="Bookman Old Style" w:hAnsi="Bookman Old Style" w:cs="Bookman Old Style"/>
          <w:sz w:val="18"/>
          <w:szCs w:val="18"/>
        </w:rPr>
        <w:t xml:space="preserve">la gara avrà termine alle ore 13.00 del </w:t>
      </w:r>
      <w:r>
        <w:rPr>
          <w:rFonts w:ascii="Bookman Old Style" w:eastAsia="Bookman Old Style" w:hAnsi="Bookman Old Style" w:cs="Bookman Old Style"/>
          <w:sz w:val="18"/>
          <w:szCs w:val="18"/>
          <w:highlight w:val="yellow"/>
        </w:rPr>
        <w:t>SECONDO giorno successivo</w:t>
      </w:r>
      <w:r>
        <w:rPr>
          <w:rFonts w:ascii="Bookman Old Style" w:eastAsia="Bookman Old Style" w:hAnsi="Bookman Old Style" w:cs="Bookman Old Style"/>
          <w:sz w:val="18"/>
          <w:szCs w:val="18"/>
        </w:rPr>
        <w:t xml:space="preserve"> a quello in cui il professionista abbia avviato la gara;</w:t>
      </w:r>
    </w:p>
    <w:p w:rsidR="006F5198" w:rsidRDefault="002707DA" w:rsidP="004D0B9A">
      <w:pPr>
        <w:numPr>
          <w:ilvl w:val="0"/>
          <w:numId w:val="7"/>
        </w:numPr>
        <w:spacing w:line="360" w:lineRule="auto"/>
        <w:ind w:left="0" w:hanging="2"/>
        <w:contextualSpacing/>
        <w:jc w:val="both"/>
        <w:rPr>
          <w:sz w:val="18"/>
          <w:szCs w:val="18"/>
        </w:rPr>
      </w:pPr>
      <w:bookmarkStart w:id="12" w:name="_3rdcrjn" w:colFirst="0" w:colLast="0"/>
      <w:bookmarkEnd w:id="12"/>
      <w:r>
        <w:rPr>
          <w:rFonts w:ascii="Bookman Old Style" w:eastAsia="Bookman Old Style" w:hAnsi="Bookman Old Style" w:cs="Bookman Old Style"/>
          <w:sz w:val="18"/>
          <w:szCs w:val="18"/>
        </w:rPr>
        <w:t>la deliberazio</w:t>
      </w:r>
      <w:r>
        <w:rPr>
          <w:rFonts w:ascii="Bookman Old Style" w:eastAsia="Bookman Old Style" w:hAnsi="Bookman Old Style" w:cs="Bookman Old Style"/>
          <w:sz w:val="18"/>
          <w:szCs w:val="18"/>
        </w:rPr>
        <w:t>ne finale sulle offerte all’esito della gara avrà luogo nel giorno immediatamente successivo alla scadenza del termine sopra indicato (con esclusione del sabato e dei giorni festivi);</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bookmarkStart w:id="13" w:name="_26in1rg" w:colFirst="0" w:colLast="0"/>
      <w:bookmarkEnd w:id="13"/>
      <w:r>
        <w:rPr>
          <w:rFonts w:ascii="Bookman Old Style" w:eastAsia="Bookman Old Style" w:hAnsi="Bookman Old Style" w:cs="Bookman Old Style"/>
          <w:sz w:val="18"/>
          <w:szCs w:val="18"/>
        </w:rPr>
        <w:t xml:space="preserve">     PRECISAZIONI: l’avvio della gara è sempre subordinato all’esito del</w:t>
      </w:r>
      <w:r>
        <w:rPr>
          <w:rFonts w:ascii="Bookman Old Style" w:eastAsia="Bookman Old Style" w:hAnsi="Bookman Old Style" w:cs="Bookman Old Style"/>
          <w:sz w:val="18"/>
          <w:szCs w:val="18"/>
        </w:rPr>
        <w:t xml:space="preserve">le verifiche preliminari demandate al professionista in punto di ammissibilità dell’offerta ed alla concreta determinazione di avvio operata da quest’ultimo; qualora il termine finale per lo svolgimento della gara venga a scadere in un giorno festivo, il </w:t>
      </w:r>
      <w:r>
        <w:rPr>
          <w:rFonts w:ascii="Bookman Old Style" w:eastAsia="Bookman Old Style" w:hAnsi="Bookman Old Style" w:cs="Bookman Old Style"/>
          <w:sz w:val="18"/>
          <w:szCs w:val="18"/>
        </w:rPr>
        <w:lastRenderedPageBreak/>
        <w:t>t</w:t>
      </w:r>
      <w:r>
        <w:rPr>
          <w:rFonts w:ascii="Bookman Old Style" w:eastAsia="Bookman Old Style" w:hAnsi="Bookman Old Style" w:cs="Bookman Old Style"/>
          <w:sz w:val="18"/>
          <w:szCs w:val="18"/>
        </w:rPr>
        <w:t>ermine dovrà intendersi automaticamente scadente al primo giorno non festivo successivo; il professionista non farà coincidere i due giorni della gara con il sabato e la domenica;</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una volta decorso il lasso temporale fissato per lo svolgimento </w:t>
      </w:r>
      <w:r>
        <w:rPr>
          <w:rFonts w:ascii="Bookman Old Style" w:eastAsia="Bookman Old Style" w:hAnsi="Bookman Old Style" w:cs="Bookman Old Style"/>
          <w:sz w:val="18"/>
          <w:szCs w:val="18"/>
        </w:rPr>
        <w:t xml:space="preserve">della gara, il gestore della vendita telematica comunichi a tutti i partecipanti la maggiore offerta formulata e comunichi al referente della procedura l’elenco delle offerte in aumento formulate e di coloro che le abbiano effettuate (ferma la possibilità </w:t>
      </w:r>
      <w:r>
        <w:rPr>
          <w:rFonts w:ascii="Bookman Old Style" w:eastAsia="Bookman Old Style" w:hAnsi="Bookman Old Style" w:cs="Bookman Old Style"/>
          <w:sz w:val="18"/>
          <w:szCs w:val="18"/>
        </w:rPr>
        <w:t xml:space="preserve"> per il professionista di procedere direttamente al </w:t>
      </w:r>
      <w:r>
        <w:rPr>
          <w:rFonts w:ascii="Bookman Old Style" w:eastAsia="Bookman Old Style" w:hAnsi="Bookman Old Style" w:cs="Bookman Old Style"/>
          <w:i/>
          <w:sz w:val="18"/>
          <w:szCs w:val="18"/>
        </w:rPr>
        <w:t xml:space="preserve">download </w:t>
      </w:r>
      <w:r>
        <w:rPr>
          <w:rFonts w:ascii="Bookman Old Style" w:eastAsia="Bookman Old Style" w:hAnsi="Bookman Old Style" w:cs="Bookman Old Style"/>
          <w:sz w:val="18"/>
          <w:szCs w:val="18"/>
        </w:rPr>
        <w:t xml:space="preserve">del report dal sito del gestore);  </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le comunicazioni ai partecipanti abbiano luogo tramite posta elettronica certificata all’indirizzo comunicato dal soggetto partecipante e tramite SM</w:t>
      </w:r>
      <w:r>
        <w:rPr>
          <w:rFonts w:ascii="Bookman Old Style" w:eastAsia="Bookman Old Style" w:hAnsi="Bookman Old Style" w:cs="Bookman Old Style"/>
          <w:sz w:val="18"/>
          <w:szCs w:val="18"/>
        </w:rPr>
        <w:t>S.</w:t>
      </w:r>
    </w:p>
    <w:p w:rsidR="006F5198" w:rsidRDefault="002707DA" w:rsidP="004D0B9A">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Individuazione della migliore offerta ed eventuale aggiudicazione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DISPONE </w:t>
      </w:r>
      <w:r>
        <w:rPr>
          <w:rFonts w:ascii="Bookman Old Style" w:eastAsia="Bookman Old Style" w:hAnsi="Bookman Old Style" w:cs="Bookman Old Style"/>
          <w:sz w:val="18"/>
          <w:szCs w:val="18"/>
        </w:rPr>
        <w:t>che il professionista delegato proceda all’individuazione della migliore offerta ed all’eventuale aggiudicazione in conformità ai criteri sopra indicati in sede di condizioni generali della vendita (cui integralmente si rinvia).</w:t>
      </w:r>
    </w:p>
    <w:p w:rsidR="006F5198" w:rsidRDefault="006F5198" w:rsidP="004D0B9A">
      <w:pPr>
        <w:spacing w:after="120" w:line="360" w:lineRule="auto"/>
        <w:ind w:left="0" w:hanging="2"/>
        <w:jc w:val="both"/>
        <w:rPr>
          <w:rFonts w:ascii="Bookman Old Style" w:eastAsia="Bookman Old Style" w:hAnsi="Bookman Old Style" w:cs="Bookman Old Style"/>
          <w:sz w:val="18"/>
          <w:szCs w:val="18"/>
        </w:rPr>
      </w:pPr>
    </w:p>
    <w:p w:rsidR="006F5198" w:rsidRDefault="002707DA" w:rsidP="004D0B9A">
      <w:pPr>
        <w:numPr>
          <w:ilvl w:val="0"/>
          <w:numId w:val="5"/>
        </w:numPr>
        <w:spacing w:line="360" w:lineRule="auto"/>
        <w:ind w:left="0" w:hanging="2"/>
        <w:contextualSpacing/>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b/>
          <w:sz w:val="18"/>
          <w:szCs w:val="18"/>
          <w:u w:val="single"/>
        </w:rPr>
        <w:t>CONDIZIONI GENERALI DELL’A</w:t>
      </w:r>
      <w:r>
        <w:rPr>
          <w:rFonts w:ascii="Bookman Old Style" w:eastAsia="Bookman Old Style" w:hAnsi="Bookman Old Style" w:cs="Bookman Old Style"/>
          <w:b/>
          <w:sz w:val="18"/>
          <w:szCs w:val="18"/>
          <w:u w:val="single"/>
        </w:rPr>
        <w:t>SSEGNAZIONE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bookmarkStart w:id="14" w:name="_lnxbz9" w:colFirst="0" w:colLast="0"/>
      <w:bookmarkEnd w:id="14"/>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il professionista delegato provveda sull’istanza di assegnazione che sia stata depositata nel termine di cui all’art. 588 </w:t>
      </w:r>
      <w:proofErr w:type="spellStart"/>
      <w:r>
        <w:rPr>
          <w:rFonts w:ascii="Bookman Old Style" w:eastAsia="Bookman Old Style" w:hAnsi="Bookman Old Style" w:cs="Bookman Old Style"/>
          <w:sz w:val="18"/>
          <w:szCs w:val="18"/>
        </w:rPr>
        <w:t>c.p.c.</w:t>
      </w:r>
      <w:proofErr w:type="spellEnd"/>
      <w:r>
        <w:rPr>
          <w:rFonts w:ascii="Bookman Old Style" w:eastAsia="Bookman Old Style" w:hAnsi="Bookman Old Style" w:cs="Bookman Old Style"/>
          <w:sz w:val="18"/>
          <w:szCs w:val="18"/>
        </w:rPr>
        <w:t xml:space="preserve"> qualora ricorra alternativamente una delle seguenti situazioni: i) la vendita non abbia av</w:t>
      </w:r>
      <w:r>
        <w:rPr>
          <w:rFonts w:ascii="Bookman Old Style" w:eastAsia="Bookman Old Style" w:hAnsi="Bookman Old Style" w:cs="Bookman Old Style"/>
          <w:sz w:val="18"/>
          <w:szCs w:val="18"/>
        </w:rPr>
        <w:t xml:space="preserve">uto luogo per mancanza totale di offerte; ii) la vendita non abbia avuto luogo in quanto l’unica offerta sia stata di importo inferiore al valore d’asta; iii) la vendita non abbia avuto luogo in quanto – in presenza di più offerte ed anche all’esito della </w:t>
      </w:r>
      <w:r>
        <w:rPr>
          <w:rFonts w:ascii="Bookman Old Style" w:eastAsia="Bookman Old Style" w:hAnsi="Bookman Old Style" w:cs="Bookman Old Style"/>
          <w:sz w:val="18"/>
          <w:szCs w:val="18"/>
        </w:rPr>
        <w:t>gara tra gli offerenti – il prezzo indicato nella migliore offerta sia inferiore al valore d’asta;</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il professionista delegato provveda a: i) determinare in sede di assegnazione l’ammontare forfettario delle spese e, eventualmente, l’ammontare de</w:t>
      </w:r>
      <w:r>
        <w:rPr>
          <w:rFonts w:ascii="Bookman Old Style" w:eastAsia="Bookman Old Style" w:hAnsi="Bookman Old Style" w:cs="Bookman Old Style"/>
          <w:sz w:val="18"/>
          <w:szCs w:val="18"/>
        </w:rPr>
        <w:t>l conguaglio dovuti dall’assegnatario; i) a fissare all’assegnatario termine in ogni caso non superiore a 120 giorni dalla data della deliberazione finale sulle offerte per il versamento delle spese e dell’eventuale conguaglio dovuti; iii) a trasmettere al</w:t>
      </w:r>
      <w:r>
        <w:rPr>
          <w:rFonts w:ascii="Bookman Old Style" w:eastAsia="Bookman Old Style" w:hAnsi="Bookman Old Style" w:cs="Bookman Old Style"/>
          <w:sz w:val="18"/>
          <w:szCs w:val="18"/>
        </w:rPr>
        <w:t xml:space="preserve"> giudice, all’esito del versamento al giudice, gli atti per la pronuncia del decreto di trasferimento.</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p>
    <w:p w:rsidR="006F5198" w:rsidRDefault="002707DA" w:rsidP="004D0B9A">
      <w:pPr>
        <w:numPr>
          <w:ilvl w:val="0"/>
          <w:numId w:val="5"/>
        </w:numPr>
        <w:spacing w:line="360" w:lineRule="auto"/>
        <w:ind w:left="0" w:hanging="2"/>
        <w:contextualSpacing/>
        <w:rPr>
          <w:rFonts w:ascii="Bookman Old Style" w:eastAsia="Bookman Old Style" w:hAnsi="Bookman Old Style" w:cs="Bookman Old Style"/>
          <w:sz w:val="18"/>
          <w:szCs w:val="18"/>
          <w:u w:val="single"/>
        </w:rPr>
      </w:pPr>
      <w:r>
        <w:rPr>
          <w:rFonts w:ascii="Bookman Old Style" w:eastAsia="Bookman Old Style" w:hAnsi="Bookman Old Style" w:cs="Bookman Old Style"/>
          <w:b/>
          <w:sz w:val="18"/>
          <w:szCs w:val="18"/>
          <w:u w:val="single"/>
        </w:rPr>
        <w:t>PUBBLICITA’ LEGALE</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p>
    <w:p w:rsidR="006F5198" w:rsidRDefault="002707DA" w:rsidP="004D0B9A">
      <w:pPr>
        <w:spacing w:line="360" w:lineRule="auto"/>
        <w:ind w:left="0" w:hanging="2"/>
        <w:jc w:val="both"/>
        <w:rPr>
          <w:rFonts w:ascii="Bookman Old Style" w:eastAsia="Bookman Old Style" w:hAnsi="Bookman Old Style" w:cs="Bookman Old Style"/>
          <w:sz w:val="18"/>
          <w:szCs w:val="18"/>
          <w:u w:val="single"/>
        </w:rPr>
      </w:pPr>
      <w:bookmarkStart w:id="15" w:name="_35nkun2" w:colFirst="0" w:colLast="0"/>
      <w:bookmarkEnd w:id="15"/>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contenuto e termini della pubblicità</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l’avviso di vendita sia reso pubblico con le forme di seguito ind</w:t>
      </w:r>
      <w:r>
        <w:rPr>
          <w:rFonts w:ascii="Bookman Old Style" w:eastAsia="Bookman Old Style" w:hAnsi="Bookman Old Style" w:cs="Bookman Old Style"/>
          <w:sz w:val="18"/>
          <w:szCs w:val="18"/>
        </w:rPr>
        <w:t>icate:</w:t>
      </w:r>
    </w:p>
    <w:p w:rsidR="006F5198" w:rsidRDefault="002707DA" w:rsidP="004D0B9A">
      <w:pPr>
        <w:numPr>
          <w:ilvl w:val="0"/>
          <w:numId w:val="6"/>
        </w:numPr>
        <w:spacing w:line="360" w:lineRule="auto"/>
        <w:ind w:left="0" w:hanging="2"/>
        <w:contextualSpacing/>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inserimento sul </w:t>
      </w:r>
      <w:r>
        <w:rPr>
          <w:rFonts w:ascii="Bookman Old Style" w:eastAsia="Bookman Old Style" w:hAnsi="Bookman Old Style" w:cs="Bookman Old Style"/>
          <w:b/>
          <w:sz w:val="18"/>
          <w:szCs w:val="18"/>
        </w:rPr>
        <w:t>“portale delle vendite pubbliche”</w:t>
      </w:r>
      <w:r>
        <w:rPr>
          <w:rFonts w:ascii="Bookman Old Style" w:eastAsia="Bookman Old Style" w:hAnsi="Bookman Old Style" w:cs="Bookman Old Style"/>
          <w:sz w:val="18"/>
          <w:szCs w:val="18"/>
        </w:rPr>
        <w:t xml:space="preserve"> dei seguenti documenti: un estratto contenente la descrizione dell’immobile posto in vendita (da redigersi secondo i criteri della pubblicità commerciale), il valore d’asta e l’offerta minima, il ter</w:t>
      </w:r>
      <w:r>
        <w:rPr>
          <w:rFonts w:ascii="Bookman Old Style" w:eastAsia="Bookman Old Style" w:hAnsi="Bookman Old Style" w:cs="Bookman Old Style"/>
          <w:sz w:val="18"/>
          <w:szCs w:val="18"/>
        </w:rPr>
        <w:t xml:space="preserve">mine per la presentazione delle offerte e la data fissata per la vendita; copia dell’ordinanza di vendita e copia dell’avviso di vendita redatto dal professionista delegato epurati dei riferimenti alla persona dell’esecutato; la planimetria del bene posto </w:t>
      </w:r>
      <w:r>
        <w:rPr>
          <w:rFonts w:ascii="Bookman Old Style" w:eastAsia="Bookman Old Style" w:hAnsi="Bookman Old Style" w:cs="Bookman Old Style"/>
          <w:sz w:val="18"/>
          <w:szCs w:val="18"/>
        </w:rPr>
        <w:t>in vendita (se risultante dalla perizia); un numero congruo di fotografie del bene posto in vendita; con indicazione dei siti internet ove saranno disponibili in dettaglio tutte le altre necessarie informazioni per partecipare alla vendita e del nominativo</w:t>
      </w:r>
      <w:r>
        <w:rPr>
          <w:rFonts w:ascii="Bookman Old Style" w:eastAsia="Bookman Old Style" w:hAnsi="Bookman Old Style" w:cs="Bookman Old Style"/>
          <w:sz w:val="18"/>
          <w:szCs w:val="18"/>
        </w:rPr>
        <w:t xml:space="preserve"> del custode giudiziario;</w:t>
      </w:r>
    </w:p>
    <w:p w:rsidR="006F5198" w:rsidRDefault="002707DA" w:rsidP="004D0B9A">
      <w:pPr>
        <w:numPr>
          <w:ilvl w:val="0"/>
          <w:numId w:val="6"/>
        </w:numPr>
        <w:spacing w:line="360" w:lineRule="auto"/>
        <w:ind w:left="0" w:hanging="2"/>
        <w:contextualSpacing/>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inserimento dell’ordinanza di vendita, dell’avviso di vendita e della relazione di stima (comprensiva di fotografie e planimetrie) su rete internet all’</w:t>
      </w:r>
      <w:r>
        <w:rPr>
          <w:rFonts w:ascii="Bookman Old Style" w:eastAsia="Bookman Old Style" w:hAnsi="Bookman Old Style" w:cs="Bookman Old Style"/>
          <w:sz w:val="18"/>
          <w:szCs w:val="18"/>
          <w:highlight w:val="yellow"/>
        </w:rPr>
        <w:t>indirizzo web</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sz w:val="18"/>
          <w:szCs w:val="18"/>
          <w:highlight w:val="yellow"/>
        </w:rPr>
        <w:t>;</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almeno quarantacinque (45) giorni</w:t>
      </w:r>
      <w:r>
        <w:rPr>
          <w:rFonts w:ascii="Bookman Old Style" w:eastAsia="Bookman Old Style" w:hAnsi="Bookman Old Style" w:cs="Bookman Old Style"/>
          <w:sz w:val="18"/>
          <w:szCs w:val="18"/>
        </w:rPr>
        <w:t xml:space="preserve"> prima della scadenza del termine per la presentazione delle offerte di acquisto;</w:t>
      </w:r>
    </w:p>
    <w:p w:rsidR="006F5198" w:rsidRDefault="002707DA" w:rsidP="004D0B9A">
      <w:pPr>
        <w:numPr>
          <w:ilvl w:val="0"/>
          <w:numId w:val="6"/>
        </w:numPr>
        <w:spacing w:line="360" w:lineRule="auto"/>
        <w:ind w:left="0" w:hanging="2"/>
        <w:contextualSpacing/>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pubblicazione dell’avviso d’asta per estratto ed in giorno festivo su uno dei </w:t>
      </w:r>
      <w:r>
        <w:rPr>
          <w:rFonts w:ascii="Bookman Old Style" w:eastAsia="Bookman Old Style" w:hAnsi="Bookman Old Style" w:cs="Bookman Old Style"/>
          <w:sz w:val="18"/>
          <w:szCs w:val="18"/>
          <w:highlight w:val="yellow"/>
        </w:rPr>
        <w:t>seguenti quotidiani:</w:t>
      </w:r>
      <w:r>
        <w:rPr>
          <w:rFonts w:ascii="Bookman Old Style" w:eastAsia="Bookman Old Style" w:hAnsi="Bookman Old Style" w:cs="Bookman Old Style"/>
          <w:sz w:val="18"/>
          <w:szCs w:val="18"/>
        </w:rPr>
        <w:t>;</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almeno quarantacinque (45) giorni</w:t>
      </w:r>
      <w:r>
        <w:rPr>
          <w:rFonts w:ascii="Bookman Old Style" w:eastAsia="Bookman Old Style" w:hAnsi="Bookman Old Style" w:cs="Bookman Old Style"/>
          <w:sz w:val="18"/>
          <w:szCs w:val="18"/>
        </w:rPr>
        <w:t xml:space="preserve"> prima della scadenza del termine per la </w:t>
      </w:r>
      <w:r>
        <w:rPr>
          <w:rFonts w:ascii="Bookman Old Style" w:eastAsia="Bookman Old Style" w:hAnsi="Bookman Old Style" w:cs="Bookman Old Style"/>
          <w:sz w:val="18"/>
          <w:szCs w:val="18"/>
        </w:rPr>
        <w:t>presentazione delle offerte di acquisto;</w:t>
      </w:r>
    </w:p>
    <w:p w:rsidR="006F5198" w:rsidRDefault="002707DA" w:rsidP="004D0B9A">
      <w:pPr>
        <w:numPr>
          <w:ilvl w:val="0"/>
          <w:numId w:val="6"/>
        </w:numPr>
        <w:spacing w:line="360" w:lineRule="auto"/>
        <w:ind w:left="0" w:hanging="2"/>
        <w:contextualSpacing/>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lastRenderedPageBreak/>
        <w:t xml:space="preserve">invio </w:t>
      </w:r>
      <w:r>
        <w:rPr>
          <w:rFonts w:ascii="Bookman Old Style" w:eastAsia="Bookman Old Style" w:hAnsi="Bookman Old Style" w:cs="Bookman Old Style"/>
          <w:b/>
          <w:sz w:val="18"/>
          <w:szCs w:val="18"/>
        </w:rPr>
        <w:t xml:space="preserve">almeno venti (20) giorni prima </w:t>
      </w:r>
      <w:r>
        <w:rPr>
          <w:rFonts w:ascii="Bookman Old Style" w:eastAsia="Bookman Old Style" w:hAnsi="Bookman Old Style" w:cs="Bookman Old Style"/>
          <w:sz w:val="18"/>
          <w:szCs w:val="18"/>
        </w:rPr>
        <w:t xml:space="preserve">della scadenza del termine per la presentazione delle offerte di acquisto di n. 500 missive pubblicitarie con il sistema </w:t>
      </w:r>
      <w:proofErr w:type="spellStart"/>
      <w:r>
        <w:rPr>
          <w:rFonts w:ascii="Bookman Old Style" w:eastAsia="Bookman Old Style" w:hAnsi="Bookman Old Style" w:cs="Bookman Old Style"/>
          <w:sz w:val="18"/>
          <w:szCs w:val="18"/>
        </w:rPr>
        <w:t>Postaltarget</w:t>
      </w:r>
      <w:proofErr w:type="spellEnd"/>
      <w:r>
        <w:rPr>
          <w:rFonts w:ascii="Bookman Old Style" w:eastAsia="Bookman Old Style" w:hAnsi="Bookman Old Style" w:cs="Bookman Old Style"/>
          <w:sz w:val="18"/>
          <w:szCs w:val="18"/>
        </w:rPr>
        <w:t xml:space="preserve"> a residenti nella zona in cui è ubicato l’im</w:t>
      </w:r>
      <w:r>
        <w:rPr>
          <w:rFonts w:ascii="Bookman Old Style" w:eastAsia="Bookman Old Style" w:hAnsi="Bookman Old Style" w:cs="Bookman Old Style"/>
          <w:sz w:val="18"/>
          <w:szCs w:val="18"/>
        </w:rPr>
        <w:t>mobile da porre in vendita;</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ogni ulteriore adempimento pubblicitario debba essere preventivamente autorizzato dal giudice;</w:t>
      </w:r>
    </w:p>
    <w:p w:rsidR="006F5198" w:rsidRDefault="002707DA" w:rsidP="004D0B9A">
      <w:pPr>
        <w:spacing w:line="360" w:lineRule="auto"/>
        <w:ind w:left="0" w:hanging="2"/>
        <w:jc w:val="both"/>
        <w:rPr>
          <w:rFonts w:ascii="Bookman Old Style" w:eastAsia="Bookman Old Style" w:hAnsi="Bookman Old Style" w:cs="Bookman Old Style"/>
          <w:sz w:val="18"/>
          <w:szCs w:val="18"/>
          <w:u w:val="single"/>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i/>
          <w:sz w:val="18"/>
          <w:szCs w:val="18"/>
          <w:u w:val="single"/>
        </w:rPr>
        <w:t>modalità operative della richiesta di pubblicità</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tutti gli adempimenti pubblicitari sopra indicati siano e</w:t>
      </w:r>
      <w:r>
        <w:rPr>
          <w:rFonts w:ascii="Bookman Old Style" w:eastAsia="Bookman Old Style" w:hAnsi="Bookman Old Style" w:cs="Bookman Old Style"/>
          <w:sz w:val="18"/>
          <w:szCs w:val="18"/>
        </w:rPr>
        <w:t>seguiti a cura del professionista delegato;</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in particolare, sotto il profilo operativo il professionista delegato proceda come segue:</w:t>
      </w:r>
    </w:p>
    <w:p w:rsidR="006F5198" w:rsidRDefault="002707DA" w:rsidP="004D0B9A">
      <w:pPr>
        <w:numPr>
          <w:ilvl w:val="0"/>
          <w:numId w:val="2"/>
        </w:numPr>
        <w:spacing w:line="360" w:lineRule="auto"/>
        <w:ind w:left="0" w:hanging="2"/>
        <w:contextualSpacing/>
        <w:jc w:val="both"/>
        <w:rPr>
          <w:sz w:val="18"/>
          <w:szCs w:val="18"/>
        </w:rPr>
      </w:pPr>
      <w:r>
        <w:rPr>
          <w:rFonts w:ascii="Bookman Old Style" w:eastAsia="Bookman Old Style" w:hAnsi="Bookman Old Style" w:cs="Bookman Old Style"/>
          <w:sz w:val="18"/>
          <w:szCs w:val="18"/>
        </w:rPr>
        <w:t xml:space="preserve">per la pubblicità sul portale delle vendite pubbliche, il professionista procederà agli adempimenti necessari </w:t>
      </w:r>
      <w:r>
        <w:rPr>
          <w:rFonts w:ascii="Bookman Old Style" w:eastAsia="Bookman Old Style" w:hAnsi="Bookman Old Style" w:cs="Bookman Old Style"/>
          <w:b/>
          <w:sz w:val="18"/>
          <w:szCs w:val="18"/>
        </w:rPr>
        <w:t>almeno</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settanta (70) giorni</w:t>
      </w: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prima </w:t>
      </w:r>
      <w:r>
        <w:rPr>
          <w:rFonts w:ascii="Bookman Old Style" w:eastAsia="Bookman Old Style" w:hAnsi="Bookman Old Style" w:cs="Bookman Old Style"/>
          <w:sz w:val="18"/>
          <w:szCs w:val="18"/>
        </w:rPr>
        <w:t>del termine fissato per la presentazione delle offerte;</w:t>
      </w:r>
    </w:p>
    <w:p w:rsidR="006F5198" w:rsidRDefault="002707DA" w:rsidP="004D0B9A">
      <w:pPr>
        <w:numPr>
          <w:ilvl w:val="0"/>
          <w:numId w:val="2"/>
        </w:numPr>
        <w:spacing w:line="360" w:lineRule="auto"/>
        <w:ind w:left="0" w:hanging="2"/>
        <w:contextualSpacing/>
        <w:jc w:val="both"/>
        <w:rPr>
          <w:sz w:val="18"/>
          <w:szCs w:val="18"/>
        </w:rPr>
      </w:pPr>
      <w:r>
        <w:rPr>
          <w:rFonts w:ascii="Bookman Old Style" w:eastAsia="Bookman Old Style" w:hAnsi="Bookman Old Style" w:cs="Bookman Old Style"/>
          <w:sz w:val="18"/>
          <w:szCs w:val="18"/>
        </w:rPr>
        <w:t xml:space="preserve">per le altre forme di pubblicità sopra indicate, il professionista procederà mediante richiesta alla </w:t>
      </w:r>
      <w:r>
        <w:rPr>
          <w:rFonts w:ascii="Bookman Old Style" w:eastAsia="Bookman Old Style" w:hAnsi="Bookman Old Style" w:cs="Bookman Old Style"/>
          <w:sz w:val="18"/>
          <w:szCs w:val="18"/>
          <w:highlight w:val="yellow"/>
        </w:rPr>
        <w:t>società di servizi ,</w:t>
      </w:r>
      <w:r>
        <w:rPr>
          <w:rFonts w:ascii="Bookman Old Style" w:eastAsia="Bookman Old Style" w:hAnsi="Bookman Old Style" w:cs="Bookman Old Style"/>
          <w:sz w:val="18"/>
          <w:szCs w:val="18"/>
        </w:rPr>
        <w:t xml:space="preserve"> facendo pervenire alla società in questione il modulo di richiesta e la relativa documentazione </w:t>
      </w:r>
      <w:r>
        <w:rPr>
          <w:rFonts w:ascii="Bookman Old Style" w:eastAsia="Bookman Old Style" w:hAnsi="Bookman Old Style" w:cs="Bookman Old Style"/>
          <w:b/>
          <w:sz w:val="18"/>
          <w:szCs w:val="18"/>
        </w:rPr>
        <w:t>almeno settanta (70) giorni prima</w:t>
      </w:r>
      <w:r>
        <w:rPr>
          <w:rFonts w:ascii="Bookman Old Style" w:eastAsia="Bookman Old Style" w:hAnsi="Bookman Old Style" w:cs="Bookman Old Style"/>
          <w:sz w:val="18"/>
          <w:szCs w:val="18"/>
        </w:rPr>
        <w:t xml:space="preserve"> del termine per la presentazione delle offerte;</w:t>
      </w:r>
    </w:p>
    <w:p w:rsidR="006F5198" w:rsidRDefault="002707DA" w:rsidP="004D0B9A">
      <w:pPr>
        <w:spacing w:line="360" w:lineRule="auto"/>
        <w:ind w:left="0" w:hanging="2"/>
        <w:jc w:val="both"/>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     PRECISAZIONI: il professionista avrà cura, sotto la propria responsabili</w:t>
      </w:r>
      <w:r>
        <w:rPr>
          <w:rFonts w:ascii="Bookman Old Style" w:eastAsia="Bookman Old Style" w:hAnsi="Bookman Old Style" w:cs="Bookman Old Style"/>
          <w:sz w:val="16"/>
          <w:szCs w:val="16"/>
        </w:rPr>
        <w:t>tà, di: i) trasmettere la documentazione da pubblicare su internet preventivamente epurata dall’indicazione delle generalità del debitore e di ogni altro dato personale idoneo a rivelare l’identità di quest’ultimo e di eventuali soggetti terzi non previsto</w:t>
      </w:r>
      <w:r>
        <w:rPr>
          <w:rFonts w:ascii="Bookman Old Style" w:eastAsia="Bookman Old Style" w:hAnsi="Bookman Old Style" w:cs="Bookman Old Style"/>
          <w:sz w:val="16"/>
          <w:szCs w:val="16"/>
        </w:rPr>
        <w:t xml:space="preserve"> dalla legge e comunque eccedente e non pertinente rispetto alle procedure di vendita in corso; ii) ove il creditore procedente sia un istituto di credito, acquisire e poi precisare nel “modulo di pubblicazione” per ogni singola richiesta di pubblicità, al</w:t>
      </w:r>
      <w:r>
        <w:rPr>
          <w:rFonts w:ascii="Bookman Old Style" w:eastAsia="Bookman Old Style" w:hAnsi="Bookman Old Style" w:cs="Bookman Old Style"/>
          <w:sz w:val="16"/>
          <w:szCs w:val="16"/>
        </w:rPr>
        <w:t>meno uno dei seguenti riferimenti: NDG/BIP/FG - numero sofferenza - gestore del procedimento, nonché l’esatta e completa anagrafica dell’istituto di credito; iii) verificare la correttezza della pubblicità su internet e su carta stampata, richiedendo il pi</w:t>
      </w:r>
      <w:r>
        <w:rPr>
          <w:rFonts w:ascii="Bookman Old Style" w:eastAsia="Bookman Old Style" w:hAnsi="Bookman Old Style" w:cs="Bookman Old Style"/>
          <w:sz w:val="16"/>
          <w:szCs w:val="16"/>
        </w:rPr>
        <w:t xml:space="preserve">ù presto possibile eventuali modifiche da effettuare; iv) comunicare alla società incaricata della pubblicità l’esito del tentativo di vendita; </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che il testo dell’avviso di vendita inserito per estratto sul quotidiano contenga unicamente i seguenti d</w:t>
      </w:r>
      <w:r>
        <w:rPr>
          <w:rFonts w:ascii="Bookman Old Style" w:eastAsia="Bookman Old Style" w:hAnsi="Bookman Old Style" w:cs="Bookman Old Style"/>
          <w:sz w:val="18"/>
          <w:szCs w:val="18"/>
        </w:rPr>
        <w:t>ati: numero della procedura e del lotto; nome del professionista delegato; diritto oggetto della vendita; ubicazione, tipologia e descrizione sommaria del bene; valore d’asta ed offerta minima per l’aggiudicazione; data, ora e luogo della vendita; nome e r</w:t>
      </w:r>
      <w:r>
        <w:rPr>
          <w:rFonts w:ascii="Bookman Old Style" w:eastAsia="Bookman Old Style" w:hAnsi="Bookman Old Style" w:cs="Bookman Old Style"/>
          <w:sz w:val="18"/>
          <w:szCs w:val="18"/>
        </w:rPr>
        <w:t>ecapito telefonico del custode giudiziario; dove reperire maggiori informazioni (cancelleria, siti internet);</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e che siano invece omessi i dati catastali e i confini del bene nonché il nome del debitore.</w:t>
      </w:r>
    </w:p>
    <w:p w:rsidR="006F5198" w:rsidRDefault="006F5198" w:rsidP="004D0B9A">
      <w:pPr>
        <w:spacing w:line="360" w:lineRule="auto"/>
        <w:ind w:left="0" w:hanging="2"/>
        <w:jc w:val="both"/>
        <w:rPr>
          <w:rFonts w:ascii="Bookman Old Style" w:eastAsia="Bookman Old Style" w:hAnsi="Bookman Old Style" w:cs="Bookman Old Style"/>
          <w:sz w:val="18"/>
          <w:szCs w:val="18"/>
        </w:rPr>
      </w:pPr>
      <w:bookmarkStart w:id="16" w:name="_1ksv4uv" w:colFirst="0" w:colLast="0"/>
      <w:bookmarkEnd w:id="16"/>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Il giudice dell’esecuzione, dott. $$</w:t>
      </w:r>
      <w:proofErr w:type="spellStart"/>
      <w:r>
        <w:rPr>
          <w:rFonts w:ascii="Bookman Old Style" w:eastAsia="Bookman Old Style" w:hAnsi="Bookman Old Style" w:cs="Bookman Old Style"/>
          <w:sz w:val="18"/>
          <w:szCs w:val="18"/>
        </w:rPr>
        <w:t>nome_g</w:t>
      </w:r>
      <w:r>
        <w:rPr>
          <w:rFonts w:ascii="Bookman Old Style" w:eastAsia="Bookman Old Style" w:hAnsi="Bookman Old Style" w:cs="Bookman Old Style"/>
          <w:sz w:val="18"/>
          <w:szCs w:val="18"/>
        </w:rPr>
        <w:t>iudice</w:t>
      </w:r>
      <w:proofErr w:type="spellEnd"/>
      <w:r>
        <w:rPr>
          <w:rFonts w:ascii="Bookman Old Style" w:eastAsia="Bookman Old Style" w:hAnsi="Bookman Old Style" w:cs="Bookman Old Style"/>
          <w:sz w:val="18"/>
          <w:szCs w:val="18"/>
        </w:rPr>
        <w:t>$$ $$</w:t>
      </w:r>
      <w:proofErr w:type="spellStart"/>
      <w:r>
        <w:rPr>
          <w:rFonts w:ascii="Bookman Old Style" w:eastAsia="Bookman Old Style" w:hAnsi="Bookman Old Style" w:cs="Bookman Old Style"/>
          <w:sz w:val="18"/>
          <w:szCs w:val="18"/>
        </w:rPr>
        <w:t>cognome_giudice</w:t>
      </w:r>
      <w:proofErr w:type="spellEnd"/>
      <w:r>
        <w:rPr>
          <w:rFonts w:ascii="Bookman Old Style" w:eastAsia="Bookman Old Style" w:hAnsi="Bookman Old Style" w:cs="Bookman Old Style"/>
          <w:sz w:val="18"/>
          <w:szCs w:val="18"/>
        </w:rPr>
        <w:t>$$,</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DELEGA </w:t>
      </w:r>
      <w:r>
        <w:rPr>
          <w:rFonts w:ascii="Bookman Old Style" w:eastAsia="Bookman Old Style" w:hAnsi="Bookman Old Style" w:cs="Bookman Old Style"/>
          <w:sz w:val="18"/>
          <w:szCs w:val="18"/>
        </w:rPr>
        <w:t xml:space="preserve">il medesimo professionista per gli </w:t>
      </w:r>
      <w:r>
        <w:rPr>
          <w:rFonts w:ascii="Bookman Old Style" w:eastAsia="Bookman Old Style" w:hAnsi="Bookman Old Style" w:cs="Bookman Old Style"/>
          <w:b/>
          <w:sz w:val="18"/>
          <w:szCs w:val="18"/>
        </w:rPr>
        <w:t>adempimenti successivi alla vendita</w:t>
      </w:r>
      <w:r>
        <w:rPr>
          <w:rFonts w:ascii="Bookman Old Style" w:eastAsia="Bookman Old Style" w:hAnsi="Bookman Old Style" w:cs="Bookman Old Style"/>
          <w:sz w:val="18"/>
          <w:szCs w:val="18"/>
        </w:rPr>
        <w:t xml:space="preserve"> e per l’effetto:</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DISPONE</w:t>
      </w:r>
      <w:r>
        <w:rPr>
          <w:rFonts w:ascii="Bookman Old Style" w:eastAsia="Bookman Old Style" w:hAnsi="Bookman Old Style" w:cs="Bookman Old Style"/>
          <w:sz w:val="18"/>
          <w:szCs w:val="18"/>
        </w:rPr>
        <w:t xml:space="preserve"> che lo stesso si attenga, nello svolgimento dell’incarico, alle seguenti prescrizioni generali e, segnatamente, i</w:t>
      </w:r>
      <w:r>
        <w:rPr>
          <w:rFonts w:ascii="Bookman Old Style" w:eastAsia="Bookman Old Style" w:hAnsi="Bookman Old Style" w:cs="Bookman Old Style"/>
          <w:sz w:val="18"/>
          <w:szCs w:val="18"/>
        </w:rPr>
        <w:t>l professionista:</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comunicherà all’aggiudicatario in sede di aggiudicazione il termine finale di tale versamento e le modalità per effettuare il pagamento;</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acquisirà documentazione in ordine al regime patrimoniale della famiglia dell’aggiudica</w:t>
      </w:r>
      <w:r>
        <w:rPr>
          <w:rFonts w:ascii="Bookman Old Style" w:eastAsia="Bookman Old Style" w:hAnsi="Bookman Old Style" w:cs="Bookman Old Style"/>
          <w:sz w:val="18"/>
          <w:szCs w:val="18"/>
        </w:rPr>
        <w:t>tario, se coniugato, nonché alla sussistenza di presupposti per eventuali agevolazioni fiscali;</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aggiornerà le visure ipotecarie al fine di verificare l’esistenza di eventuali iscrizioni o trascrizioni successive al pignoramento;</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aggiornerà le visure catastali al fine di verificare l’esistenza di eventuali modificazioni intervenute; </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provvederà altresì a verificare l’esatto versamento del saldo prezzo e degli oneri dovuti nei termini sopra precisati;</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entro </w:t>
      </w:r>
      <w:r>
        <w:rPr>
          <w:rFonts w:ascii="Bookman Old Style" w:eastAsia="Bookman Old Style" w:hAnsi="Bookman Old Style" w:cs="Bookman Old Style"/>
          <w:b/>
          <w:sz w:val="18"/>
          <w:szCs w:val="18"/>
        </w:rPr>
        <w:t>tren</w:t>
      </w:r>
      <w:r>
        <w:rPr>
          <w:rFonts w:ascii="Bookman Old Style" w:eastAsia="Bookman Old Style" w:hAnsi="Bookman Old Style" w:cs="Bookman Old Style"/>
          <w:b/>
          <w:sz w:val="18"/>
          <w:szCs w:val="18"/>
        </w:rPr>
        <w:t>ta (30) giorni</w:t>
      </w:r>
      <w:r>
        <w:rPr>
          <w:rFonts w:ascii="Bookman Old Style" w:eastAsia="Bookman Old Style" w:hAnsi="Bookman Old Style" w:cs="Bookman Old Style"/>
          <w:sz w:val="18"/>
          <w:szCs w:val="18"/>
        </w:rPr>
        <w:t xml:space="preserve"> dal versamento del saldo del prezzo e delle spese, sulla base della documentazione acquisita e delle visure aggiornate redigerà la bozza del decreto di trasferimento e la trasmetterà al giudice unitamente, se richiesto dalla legge, al certif</w:t>
      </w:r>
      <w:r>
        <w:rPr>
          <w:rFonts w:ascii="Bookman Old Style" w:eastAsia="Bookman Old Style" w:hAnsi="Bookman Old Style" w:cs="Bookman Old Style"/>
          <w:sz w:val="18"/>
          <w:szCs w:val="18"/>
        </w:rPr>
        <w:t>icato di destinazione urbanistica dell’immobile quale risultante dal fascicolo processuale o, se questo non dovesse essere più valido, quello aggiornato a cura dell’aggiudicatario.</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lastRenderedPageBreak/>
        <w:t xml:space="preserve">     </w:t>
      </w:r>
      <w:r>
        <w:rPr>
          <w:rFonts w:ascii="Bookman Old Style" w:eastAsia="Bookman Old Style" w:hAnsi="Bookman Old Style" w:cs="Bookman Old Style"/>
          <w:b/>
          <w:sz w:val="18"/>
          <w:szCs w:val="18"/>
        </w:rPr>
        <w:t>DELEGA</w:t>
      </w:r>
      <w:r>
        <w:rPr>
          <w:rFonts w:ascii="Bookman Old Style" w:eastAsia="Bookman Old Style" w:hAnsi="Bookman Old Style" w:cs="Bookman Old Style"/>
          <w:sz w:val="18"/>
          <w:szCs w:val="18"/>
        </w:rPr>
        <w:t xml:space="preserve"> altresì il medesimo professionista alla esecuzione delle formal</w:t>
      </w:r>
      <w:r>
        <w:rPr>
          <w:rFonts w:ascii="Bookman Old Style" w:eastAsia="Bookman Old Style" w:hAnsi="Bookman Old Style" w:cs="Bookman Old Style"/>
          <w:sz w:val="18"/>
          <w:szCs w:val="18"/>
        </w:rPr>
        <w:t>ità di registrazione, trascrizione e voltura catastale del decreto di trasferimento, alla comunicazione dello stesso alle pubbliche amministrazioni negli stessi casi previsti per le comunicazioni di atti volontari di trasferimento nonché all’espletamento d</w:t>
      </w:r>
      <w:r>
        <w:rPr>
          <w:rFonts w:ascii="Bookman Old Style" w:eastAsia="Bookman Old Style" w:hAnsi="Bookman Old Style" w:cs="Bookman Old Style"/>
          <w:sz w:val="18"/>
          <w:szCs w:val="18"/>
        </w:rPr>
        <w:t xml:space="preserve">elle formalità di cancellazione delle trascrizioni dei pignoramenti e delle iscrizioni ipotecarie conseguenti al decreto. </w:t>
      </w:r>
    </w:p>
    <w:p w:rsidR="006F5198" w:rsidRDefault="006F5198" w:rsidP="004D0B9A">
      <w:pPr>
        <w:spacing w:after="120" w:line="360" w:lineRule="auto"/>
        <w:ind w:left="0" w:hanging="2"/>
        <w:jc w:val="both"/>
        <w:rPr>
          <w:rFonts w:ascii="Bookman Old Style" w:eastAsia="Bookman Old Style" w:hAnsi="Bookman Old Style" w:cs="Bookman Old Style"/>
          <w:sz w:val="18"/>
          <w:szCs w:val="18"/>
        </w:rPr>
      </w:pPr>
      <w:bookmarkStart w:id="17" w:name="_44sinio" w:colFirst="0" w:colLast="0"/>
      <w:bookmarkEnd w:id="17"/>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Il giudice dell’esecuzione, dott. $$</w:t>
      </w:r>
      <w:proofErr w:type="spellStart"/>
      <w:r>
        <w:rPr>
          <w:rFonts w:ascii="Bookman Old Style" w:eastAsia="Bookman Old Style" w:hAnsi="Bookman Old Style" w:cs="Bookman Old Style"/>
          <w:sz w:val="18"/>
          <w:szCs w:val="18"/>
        </w:rPr>
        <w:t>nome_giudice</w:t>
      </w:r>
      <w:proofErr w:type="spellEnd"/>
      <w:r>
        <w:rPr>
          <w:rFonts w:ascii="Bookman Old Style" w:eastAsia="Bookman Old Style" w:hAnsi="Bookman Old Style" w:cs="Bookman Old Style"/>
          <w:sz w:val="18"/>
          <w:szCs w:val="18"/>
        </w:rPr>
        <w:t>$$ $$</w:t>
      </w:r>
      <w:proofErr w:type="spellStart"/>
      <w:r>
        <w:rPr>
          <w:rFonts w:ascii="Bookman Old Style" w:eastAsia="Bookman Old Style" w:hAnsi="Bookman Old Style" w:cs="Bookman Old Style"/>
          <w:sz w:val="18"/>
          <w:szCs w:val="18"/>
        </w:rPr>
        <w:t>cognome_giudice</w:t>
      </w:r>
      <w:proofErr w:type="spellEnd"/>
      <w:r>
        <w:rPr>
          <w:rFonts w:ascii="Bookman Old Style" w:eastAsia="Bookman Old Style" w:hAnsi="Bookman Old Style" w:cs="Bookman Old Style"/>
          <w:sz w:val="18"/>
          <w:szCs w:val="18"/>
        </w:rPr>
        <w:t>$$,</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DELEGA </w:t>
      </w:r>
      <w:r>
        <w:rPr>
          <w:rFonts w:ascii="Bookman Old Style" w:eastAsia="Bookman Old Style" w:hAnsi="Bookman Old Style" w:cs="Bookman Old Style"/>
          <w:sz w:val="18"/>
          <w:szCs w:val="18"/>
        </w:rPr>
        <w:t xml:space="preserve">il medesimo professionista </w:t>
      </w:r>
      <w:r>
        <w:rPr>
          <w:rFonts w:ascii="Bookman Old Style" w:eastAsia="Bookman Old Style" w:hAnsi="Bookman Old Style" w:cs="Bookman Old Style"/>
          <w:b/>
          <w:sz w:val="18"/>
          <w:szCs w:val="18"/>
        </w:rPr>
        <w:t>per la formazion</w:t>
      </w:r>
      <w:r>
        <w:rPr>
          <w:rFonts w:ascii="Bookman Old Style" w:eastAsia="Bookman Old Style" w:hAnsi="Bookman Old Style" w:cs="Bookman Old Style"/>
          <w:b/>
          <w:sz w:val="18"/>
          <w:szCs w:val="18"/>
        </w:rPr>
        <w:t>e di bozza del progetto di distribuzione o assegnazione</w:t>
      </w:r>
      <w:r>
        <w:rPr>
          <w:rFonts w:ascii="Bookman Old Style" w:eastAsia="Bookman Old Style" w:hAnsi="Bookman Old Style" w:cs="Bookman Old Style"/>
          <w:sz w:val="18"/>
          <w:szCs w:val="18"/>
        </w:rPr>
        <w:t xml:space="preserve"> e per l’effetto:</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DISPONE </w:t>
      </w:r>
      <w:r>
        <w:rPr>
          <w:rFonts w:ascii="Bookman Old Style" w:eastAsia="Bookman Old Style" w:hAnsi="Bookman Old Style" w:cs="Bookman Old Style"/>
          <w:sz w:val="18"/>
          <w:szCs w:val="18"/>
        </w:rPr>
        <w:t>che lo stesso si attenga, nell’esecuzione dell’incarico, alle seguenti prescrizioni generali e, segnatamente, il professionista:</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indicherà nel verbale di aggiudica</w:t>
      </w:r>
      <w:r>
        <w:rPr>
          <w:rFonts w:ascii="Bookman Old Style" w:eastAsia="Bookman Old Style" w:hAnsi="Bookman Old Style" w:cs="Bookman Old Style"/>
          <w:sz w:val="18"/>
          <w:szCs w:val="18"/>
        </w:rPr>
        <w:t xml:space="preserve">zione il termine (in ogni caso non superiore a 150 giorni dall’aggiudicazione) entro cui i creditori dovranno inviare le note di precisazione del credito; </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inviterà nel verbale di aggiudicazione o, comunque, con atto successivo: i) ogni creditore ad</w:t>
      </w:r>
      <w:r>
        <w:rPr>
          <w:rFonts w:ascii="Bookman Old Style" w:eastAsia="Bookman Old Style" w:hAnsi="Bookman Old Style" w:cs="Bookman Old Style"/>
          <w:sz w:val="18"/>
          <w:szCs w:val="18"/>
        </w:rPr>
        <w:t xml:space="preserve"> indicare le modalità di pagamento e le necessarie coordinate bancarie, precisando che il conto corrente su cui dovranno essere bonificate le somme dovrà essere intestato esclusivamente al creditore, con esclusione dei difensori o di terzi; ii) i creditori</w:t>
      </w:r>
      <w:r>
        <w:rPr>
          <w:rFonts w:ascii="Bookman Old Style" w:eastAsia="Bookman Old Style" w:hAnsi="Bookman Old Style" w:cs="Bookman Old Style"/>
          <w:sz w:val="18"/>
          <w:szCs w:val="18"/>
        </w:rPr>
        <w:t xml:space="preserve"> ipotecari a presentare, ove non ancora avvenuto, copia della nota di iscrizione, nonché, in caso di mutuo con restituzione rateale, il piano di ammortamento; iii) i creditori che intendano far valere un privilegio con collocazione sussidiaria sugli immobi</w:t>
      </w:r>
      <w:r>
        <w:rPr>
          <w:rFonts w:ascii="Bookman Old Style" w:eastAsia="Bookman Old Style" w:hAnsi="Bookman Old Style" w:cs="Bookman Old Style"/>
          <w:sz w:val="18"/>
          <w:szCs w:val="18"/>
        </w:rPr>
        <w:t>li ai sensi dell’art. ex art. 2776, secondo e terzo comma, cod. civ. a documentare l’esito infruttuoso della esecuzione mobiliare, avvisandoli che, in mancanza, il credito sarà considerato chirografario; iv) nel caso di credito fondiario e qualora abbia av</w:t>
      </w:r>
      <w:r>
        <w:rPr>
          <w:rFonts w:ascii="Bookman Old Style" w:eastAsia="Bookman Old Style" w:hAnsi="Bookman Old Style" w:cs="Bookman Old Style"/>
          <w:sz w:val="18"/>
          <w:szCs w:val="18"/>
        </w:rPr>
        <w:t>uto luogo la dichiarazione di fallimento dell’esecutato, richiederà al creditore di documentare l’importo del credito ammesso al passivo fallimentare con il privilegio ipotecario (con onere di documentare il provvedimento di stato passivo esecutivo);</w:t>
      </w:r>
    </w:p>
    <w:p w:rsidR="006F5198" w:rsidRDefault="002707DA" w:rsidP="004D0B9A">
      <w:pPr>
        <w:spacing w:line="360" w:lineRule="auto"/>
        <w:ind w:left="0" w:right="-82"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il professionista considererà tra le spese in </w:t>
      </w:r>
      <w:proofErr w:type="spellStart"/>
      <w:r>
        <w:rPr>
          <w:rFonts w:ascii="Bookman Old Style" w:eastAsia="Bookman Old Style" w:hAnsi="Bookman Old Style" w:cs="Bookman Old Style"/>
          <w:sz w:val="18"/>
          <w:szCs w:val="18"/>
        </w:rPr>
        <w:t>prededuzione</w:t>
      </w:r>
      <w:proofErr w:type="spellEnd"/>
      <w:r>
        <w:rPr>
          <w:rFonts w:ascii="Bookman Old Style" w:eastAsia="Bookman Old Style" w:hAnsi="Bookman Old Style" w:cs="Bookman Old Style"/>
          <w:sz w:val="18"/>
          <w:szCs w:val="18"/>
        </w:rPr>
        <w:t xml:space="preserve"> il compenso degli ausiliari del giudice;</w:t>
      </w:r>
    </w:p>
    <w:p w:rsidR="006F5198" w:rsidRDefault="002707DA" w:rsidP="004D0B9A">
      <w:pPr>
        <w:spacing w:line="360" w:lineRule="auto"/>
        <w:ind w:left="0" w:right="-82"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il professionista redigerà quindi la bozza del progetto di distribuzione e provvederà  a trasmetterlo ai creditori nel termine di 30 giorni pr</w:t>
      </w:r>
      <w:r>
        <w:rPr>
          <w:rFonts w:ascii="Bookman Old Style" w:eastAsia="Bookman Old Style" w:hAnsi="Bookman Old Style" w:cs="Bookman Old Style"/>
          <w:sz w:val="18"/>
          <w:szCs w:val="18"/>
        </w:rPr>
        <w:t xml:space="preserve">ima dell’udienza di discussione assegnando termine di 10 giorni per eventuali osservazioni ed infine depositerà la bozza finale del progetto di distribuzione nel termine di </w:t>
      </w:r>
      <w:r>
        <w:rPr>
          <w:rFonts w:ascii="Bookman Old Style" w:eastAsia="Bookman Old Style" w:hAnsi="Bookman Old Style" w:cs="Bookman Old Style"/>
          <w:b/>
          <w:sz w:val="18"/>
          <w:szCs w:val="18"/>
        </w:rPr>
        <w:t>10 giorni prima</w:t>
      </w:r>
      <w:r>
        <w:rPr>
          <w:rFonts w:ascii="Bookman Old Style" w:eastAsia="Bookman Old Style" w:hAnsi="Bookman Old Style" w:cs="Bookman Old Style"/>
          <w:sz w:val="18"/>
          <w:szCs w:val="18"/>
        </w:rPr>
        <w:t xml:space="preserve"> della udienza indicata per la discussione del progetto di riparto i</w:t>
      </w:r>
      <w:r>
        <w:rPr>
          <w:rFonts w:ascii="Bookman Old Style" w:eastAsia="Bookman Old Style" w:hAnsi="Bookman Old Style" w:cs="Bookman Old Style"/>
          <w:sz w:val="18"/>
          <w:szCs w:val="18"/>
        </w:rPr>
        <w:t xml:space="preserve">nnanzi al giudice;     </w:t>
      </w:r>
    </w:p>
    <w:p w:rsidR="006F5198" w:rsidRDefault="002707DA" w:rsidP="004D0B9A">
      <w:pPr>
        <w:spacing w:line="360" w:lineRule="auto"/>
        <w:ind w:left="0" w:right="-82"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 il professionista presenzierà all’udienza di discussione del progetto di distribuzione e provvederà a trarre copia del progetto di distribuzione e delle dichiarazioni del creditore in ordine alle modalità di pagamento prescel</w:t>
      </w:r>
      <w:r>
        <w:rPr>
          <w:rFonts w:ascii="Bookman Old Style" w:eastAsia="Bookman Old Style" w:hAnsi="Bookman Old Style" w:cs="Bookman Old Style"/>
          <w:sz w:val="18"/>
          <w:szCs w:val="18"/>
        </w:rPr>
        <w:t>te ai fini della pronta esecuzione del progetto di distribuzione.</w:t>
      </w:r>
    </w:p>
    <w:p w:rsidR="006F5198" w:rsidRDefault="002707DA" w:rsidP="004D0B9A">
      <w:pPr>
        <w:spacing w:line="360" w:lineRule="auto"/>
        <w:ind w:left="0" w:right="-82"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DISPONE </w:t>
      </w:r>
      <w:r>
        <w:rPr>
          <w:rFonts w:ascii="Bookman Old Style" w:eastAsia="Bookman Old Style" w:hAnsi="Bookman Old Style" w:cs="Bookman Old Style"/>
          <w:sz w:val="18"/>
          <w:szCs w:val="18"/>
        </w:rPr>
        <w:t xml:space="preserve">che il professionista – a seguito del provvedimento di approvazione del progetto di distribuzione ex art. 598 </w:t>
      </w:r>
      <w:proofErr w:type="spellStart"/>
      <w:r>
        <w:rPr>
          <w:rFonts w:ascii="Bookman Old Style" w:eastAsia="Bookman Old Style" w:hAnsi="Bookman Old Style" w:cs="Bookman Old Style"/>
          <w:sz w:val="18"/>
          <w:szCs w:val="18"/>
        </w:rPr>
        <w:t>c.p.c.</w:t>
      </w:r>
      <w:proofErr w:type="spellEnd"/>
      <w:r>
        <w:rPr>
          <w:rFonts w:ascii="Bookman Old Style" w:eastAsia="Bookman Old Style" w:hAnsi="Bookman Old Style" w:cs="Bookman Old Style"/>
          <w:sz w:val="18"/>
          <w:szCs w:val="18"/>
        </w:rPr>
        <w:t xml:space="preserve"> o del provvedimento di assegnazione ex art. 510 </w:t>
      </w:r>
      <w:proofErr w:type="spellStart"/>
      <w:r>
        <w:rPr>
          <w:rFonts w:ascii="Bookman Old Style" w:eastAsia="Bookman Old Style" w:hAnsi="Bookman Old Style" w:cs="Bookman Old Style"/>
          <w:sz w:val="18"/>
          <w:szCs w:val="18"/>
        </w:rPr>
        <w:t>c.p.c.</w:t>
      </w:r>
      <w:proofErr w:type="spellEnd"/>
      <w:r>
        <w:rPr>
          <w:rFonts w:ascii="Bookman Old Style" w:eastAsia="Bookman Old Style" w:hAnsi="Bookman Old Style" w:cs="Bookman Old Style"/>
          <w:sz w:val="18"/>
          <w:szCs w:val="18"/>
        </w:rPr>
        <w:t xml:space="preserve"> – pro</w:t>
      </w:r>
      <w:r>
        <w:rPr>
          <w:rFonts w:ascii="Bookman Old Style" w:eastAsia="Bookman Old Style" w:hAnsi="Bookman Old Style" w:cs="Bookman Old Style"/>
          <w:sz w:val="18"/>
          <w:szCs w:val="18"/>
        </w:rPr>
        <w:t>ceda a porre in esecuzione il piano di riparto o il provvedimento di assegnazione con l’effettuazione dei relativi pagamenti e degli adempimenti consequenziali nei termini indicati nel progetto approvato.</w:t>
      </w:r>
    </w:p>
    <w:p w:rsidR="006F5198" w:rsidRDefault="006F5198" w:rsidP="004D0B9A">
      <w:pPr>
        <w:spacing w:line="360" w:lineRule="auto"/>
        <w:ind w:left="0" w:hanging="2"/>
        <w:jc w:val="both"/>
        <w:rPr>
          <w:rFonts w:ascii="Bookman Old Style" w:eastAsia="Bookman Old Style" w:hAnsi="Bookman Old Style" w:cs="Bookman Old Style"/>
          <w:sz w:val="18"/>
          <w:szCs w:val="18"/>
        </w:rPr>
      </w:pP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Il giudice dell’esecuzione, dott. $$</w:t>
      </w:r>
      <w:proofErr w:type="spellStart"/>
      <w:r>
        <w:rPr>
          <w:rFonts w:ascii="Bookman Old Style" w:eastAsia="Bookman Old Style" w:hAnsi="Bookman Old Style" w:cs="Bookman Old Style"/>
          <w:sz w:val="18"/>
          <w:szCs w:val="18"/>
        </w:rPr>
        <w:t>nome_giud</w:t>
      </w:r>
      <w:r>
        <w:rPr>
          <w:rFonts w:ascii="Bookman Old Style" w:eastAsia="Bookman Old Style" w:hAnsi="Bookman Old Style" w:cs="Bookman Old Style"/>
          <w:sz w:val="18"/>
          <w:szCs w:val="18"/>
        </w:rPr>
        <w:t>ice</w:t>
      </w:r>
      <w:proofErr w:type="spellEnd"/>
      <w:r>
        <w:rPr>
          <w:rFonts w:ascii="Bookman Old Style" w:eastAsia="Bookman Old Style" w:hAnsi="Bookman Old Style" w:cs="Bookman Old Style"/>
          <w:sz w:val="18"/>
          <w:szCs w:val="18"/>
        </w:rPr>
        <w:t>$$ $$</w:t>
      </w:r>
      <w:proofErr w:type="spellStart"/>
      <w:r>
        <w:rPr>
          <w:rFonts w:ascii="Bookman Old Style" w:eastAsia="Bookman Old Style" w:hAnsi="Bookman Old Style" w:cs="Bookman Old Style"/>
          <w:sz w:val="18"/>
          <w:szCs w:val="18"/>
        </w:rPr>
        <w:t>cognome_giudice</w:t>
      </w:r>
      <w:proofErr w:type="spellEnd"/>
      <w:r>
        <w:rPr>
          <w:rFonts w:ascii="Bookman Old Style" w:eastAsia="Bookman Old Style" w:hAnsi="Bookman Old Style" w:cs="Bookman Old Style"/>
          <w:sz w:val="18"/>
          <w:szCs w:val="18"/>
        </w:rPr>
        <w:t>$$,</w:t>
      </w:r>
    </w:p>
    <w:p w:rsidR="006F5198" w:rsidRDefault="002707DA" w:rsidP="004D0B9A">
      <w:pPr>
        <w:spacing w:line="360" w:lineRule="auto"/>
        <w:ind w:left="0"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r>
        <w:rPr>
          <w:rFonts w:ascii="Bookman Old Style" w:eastAsia="Bookman Old Style" w:hAnsi="Bookman Old Style" w:cs="Bookman Old Style"/>
          <w:b/>
          <w:sz w:val="18"/>
          <w:szCs w:val="18"/>
        </w:rPr>
        <w:t xml:space="preserve">ORDINA alla Cancelleria di comunicare il presente provvedimento e di trasmettere gli atti necessari per le operazioni delegate al professionista designato. </w:t>
      </w:r>
    </w:p>
    <w:p w:rsidR="006F5198" w:rsidRDefault="002707DA" w:rsidP="004D0B9A">
      <w:pPr>
        <w:spacing w:line="360" w:lineRule="auto"/>
        <w:ind w:left="0" w:right="-82" w:hanging="2"/>
        <w:jc w:val="both"/>
        <w:rPr>
          <w:rFonts w:ascii="Bookman Old Style" w:eastAsia="Bookman Old Style" w:hAnsi="Bookman Old Style" w:cs="Bookman Old Style"/>
          <w:sz w:val="18"/>
          <w:szCs w:val="18"/>
        </w:rPr>
      </w:pPr>
      <w:r>
        <w:rPr>
          <w:rFonts w:ascii="Bookman Old Style" w:eastAsia="Bookman Old Style" w:hAnsi="Bookman Old Style" w:cs="Bookman Old Style"/>
          <w:b/>
          <w:sz w:val="18"/>
          <w:szCs w:val="18"/>
        </w:rPr>
        <w:t xml:space="preserve">     </w:t>
      </w:r>
      <w:r>
        <w:rPr>
          <w:rFonts w:ascii="Bookman Old Style" w:eastAsia="Bookman Old Style" w:hAnsi="Bookman Old Style" w:cs="Bookman Old Style"/>
          <w:sz w:val="18"/>
          <w:szCs w:val="18"/>
        </w:rPr>
        <w:t>Napoli, $$</w:t>
      </w:r>
      <w:proofErr w:type="spellStart"/>
      <w:r>
        <w:rPr>
          <w:rFonts w:ascii="Bookman Old Style" w:eastAsia="Bookman Old Style" w:hAnsi="Bookman Old Style" w:cs="Bookman Old Style"/>
          <w:sz w:val="18"/>
          <w:szCs w:val="18"/>
        </w:rPr>
        <w:t>data_provvedimento</w:t>
      </w:r>
      <w:proofErr w:type="spellEnd"/>
      <w:r>
        <w:rPr>
          <w:rFonts w:ascii="Bookman Old Style" w:eastAsia="Bookman Old Style" w:hAnsi="Bookman Old Style" w:cs="Bookman Old Style"/>
          <w:sz w:val="18"/>
          <w:szCs w:val="18"/>
        </w:rPr>
        <w:t xml:space="preserve">$$ </w:t>
      </w:r>
    </w:p>
    <w:p w:rsidR="006F5198" w:rsidRDefault="006F5198" w:rsidP="004D0B9A">
      <w:pPr>
        <w:spacing w:line="360" w:lineRule="auto"/>
        <w:ind w:left="0" w:right="-82" w:hanging="2"/>
        <w:jc w:val="both"/>
        <w:rPr>
          <w:rFonts w:ascii="Bookman Old Style" w:eastAsia="Bookman Old Style" w:hAnsi="Bookman Old Style" w:cs="Bookman Old Style"/>
          <w:sz w:val="18"/>
          <w:szCs w:val="18"/>
        </w:rPr>
      </w:pPr>
    </w:p>
    <w:p w:rsidR="006F5198" w:rsidRDefault="002707DA" w:rsidP="004D0B9A">
      <w:pPr>
        <w:spacing w:line="360" w:lineRule="auto"/>
        <w:ind w:left="0" w:hanging="2"/>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Il giudice dell’esecuzione</w:t>
      </w:r>
    </w:p>
    <w:p w:rsidR="006F5198" w:rsidRDefault="002707DA" w:rsidP="006F5198">
      <w:pPr>
        <w:spacing w:line="360" w:lineRule="auto"/>
        <w:ind w:left="0" w:hanging="2"/>
        <w:jc w:val="center"/>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Do</w:t>
      </w:r>
      <w:r>
        <w:rPr>
          <w:rFonts w:ascii="Bookman Old Style" w:eastAsia="Bookman Old Style" w:hAnsi="Bookman Old Style" w:cs="Bookman Old Style"/>
          <w:sz w:val="18"/>
          <w:szCs w:val="18"/>
        </w:rPr>
        <w:t>tt. $$</w:t>
      </w:r>
      <w:proofErr w:type="spellStart"/>
      <w:r>
        <w:rPr>
          <w:rFonts w:ascii="Bookman Old Style" w:eastAsia="Bookman Old Style" w:hAnsi="Bookman Old Style" w:cs="Bookman Old Style"/>
          <w:sz w:val="18"/>
          <w:szCs w:val="18"/>
        </w:rPr>
        <w:t>nome_giudice</w:t>
      </w:r>
      <w:proofErr w:type="spellEnd"/>
      <w:r>
        <w:rPr>
          <w:rFonts w:ascii="Bookman Old Style" w:eastAsia="Bookman Old Style" w:hAnsi="Bookman Old Style" w:cs="Bookman Old Style"/>
          <w:sz w:val="18"/>
          <w:szCs w:val="18"/>
        </w:rPr>
        <w:t>$$ $$</w:t>
      </w:r>
      <w:proofErr w:type="spellStart"/>
      <w:r>
        <w:rPr>
          <w:rFonts w:ascii="Bookman Old Style" w:eastAsia="Bookman Old Style" w:hAnsi="Bookman Old Style" w:cs="Bookman Old Style"/>
          <w:sz w:val="18"/>
          <w:szCs w:val="18"/>
        </w:rPr>
        <w:t>cognome_giudice</w:t>
      </w:r>
      <w:proofErr w:type="spellEnd"/>
      <w:r>
        <w:rPr>
          <w:rFonts w:ascii="Bookman Old Style" w:eastAsia="Bookman Old Style" w:hAnsi="Bookman Old Style" w:cs="Bookman Old Style"/>
          <w:sz w:val="18"/>
          <w:szCs w:val="18"/>
        </w:rPr>
        <w:t>$$</w:t>
      </w:r>
    </w:p>
    <w:sectPr w:rsidR="006F5198">
      <w:footerReference w:type="even" r:id="rId10"/>
      <w:footerReference w:type="default" r:id="rId11"/>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7DA" w:rsidRDefault="002707DA" w:rsidP="004D0B9A">
      <w:pPr>
        <w:spacing w:line="240" w:lineRule="auto"/>
        <w:ind w:left="0" w:hanging="2"/>
      </w:pPr>
      <w:r>
        <w:separator/>
      </w:r>
    </w:p>
  </w:endnote>
  <w:endnote w:type="continuationSeparator" w:id="0">
    <w:p w:rsidR="002707DA" w:rsidRDefault="002707DA" w:rsidP="004D0B9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FUIText-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98" w:rsidRDefault="002707DA" w:rsidP="004D0B9A">
    <w:pPr>
      <w:spacing w:line="240" w:lineRule="auto"/>
      <w:ind w:left="0" w:hanging="2"/>
      <w:jc w:val="center"/>
    </w:pPr>
    <w:r>
      <w:fldChar w:fldCharType="begin"/>
    </w:r>
    <w:r>
      <w:instrText>PAGE</w:instrText>
    </w:r>
    <w:r>
      <w:fldChar w:fldCharType="end"/>
    </w:r>
  </w:p>
  <w:p w:rsidR="006F5198" w:rsidRDefault="006F5198" w:rsidP="004D0B9A">
    <w:pPr>
      <w:spacing w:line="240" w:lineRule="auto"/>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98" w:rsidRDefault="002707DA" w:rsidP="004D0B9A">
    <w:pPr>
      <w:spacing w:line="240" w:lineRule="auto"/>
      <w:ind w:left="0" w:hanging="2"/>
      <w:jc w:val="right"/>
      <w:rPr>
        <w:sz w:val="16"/>
        <w:szCs w:val="16"/>
      </w:rPr>
    </w:pPr>
    <w:r>
      <w:rPr>
        <w:sz w:val="16"/>
        <w:szCs w:val="16"/>
      </w:rPr>
      <w:fldChar w:fldCharType="begin"/>
    </w:r>
    <w:r>
      <w:rPr>
        <w:sz w:val="16"/>
        <w:szCs w:val="16"/>
      </w:rPr>
      <w:instrText>PAGE</w:instrText>
    </w:r>
    <w:r w:rsidR="004D0B9A">
      <w:rPr>
        <w:sz w:val="16"/>
        <w:szCs w:val="16"/>
      </w:rPr>
      <w:fldChar w:fldCharType="separate"/>
    </w:r>
    <w:r w:rsidR="004D0B9A">
      <w:rPr>
        <w:noProof/>
        <w:sz w:val="16"/>
        <w:szCs w:val="16"/>
      </w:rPr>
      <w:t>1</w:t>
    </w:r>
    <w:r>
      <w:rPr>
        <w:sz w:val="16"/>
        <w:szCs w:val="16"/>
      </w:rPr>
      <w:fldChar w:fldCharType="end"/>
    </w:r>
  </w:p>
  <w:p w:rsidR="006F5198" w:rsidRDefault="006F5198" w:rsidP="004D0B9A">
    <w:pPr>
      <w:spacing w:line="240" w:lineRule="auto"/>
      <w:ind w:left="0" w:hanging="2"/>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7DA" w:rsidRDefault="002707DA" w:rsidP="004D0B9A">
      <w:pPr>
        <w:spacing w:line="240" w:lineRule="auto"/>
        <w:ind w:left="0" w:hanging="2"/>
      </w:pPr>
      <w:r>
        <w:separator/>
      </w:r>
    </w:p>
  </w:footnote>
  <w:footnote w:type="continuationSeparator" w:id="0">
    <w:p w:rsidR="002707DA" w:rsidRDefault="002707DA" w:rsidP="004D0B9A">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5EB5"/>
    <w:multiLevelType w:val="multilevel"/>
    <w:tmpl w:val="09A097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C123D75"/>
    <w:multiLevelType w:val="multilevel"/>
    <w:tmpl w:val="047452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3744988"/>
    <w:multiLevelType w:val="multilevel"/>
    <w:tmpl w:val="5240BB12"/>
    <w:lvl w:ilvl="0">
      <w:start w:val="1"/>
      <w:numFmt w:val="decimal"/>
      <w:lvlText w:val="%1)"/>
      <w:lvlJc w:val="left"/>
      <w:pPr>
        <w:ind w:left="68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2D1956A0"/>
    <w:multiLevelType w:val="multilevel"/>
    <w:tmpl w:val="F59C192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486C28C6"/>
    <w:multiLevelType w:val="multilevel"/>
    <w:tmpl w:val="DB7E0C22"/>
    <w:lvl w:ilvl="0">
      <w:start w:val="1"/>
      <w:numFmt w:val="bullet"/>
      <w:pStyle w:val="n-TitoloFormule"/>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A271149"/>
    <w:multiLevelType w:val="multilevel"/>
    <w:tmpl w:val="8DBA7BEA"/>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6">
    <w:nsid w:val="580D3470"/>
    <w:multiLevelType w:val="multilevel"/>
    <w:tmpl w:val="B2CA8B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687E7DA7"/>
    <w:multiLevelType w:val="multilevel"/>
    <w:tmpl w:val="9DC2C5E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6A477137"/>
    <w:multiLevelType w:val="multilevel"/>
    <w:tmpl w:val="246A6F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736E189F"/>
    <w:multiLevelType w:val="multilevel"/>
    <w:tmpl w:val="7570B0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7C627C17"/>
    <w:multiLevelType w:val="multilevel"/>
    <w:tmpl w:val="BD004D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10"/>
  </w:num>
  <w:num w:numId="3">
    <w:abstractNumId w:val="5"/>
  </w:num>
  <w:num w:numId="4">
    <w:abstractNumId w:val="2"/>
  </w:num>
  <w:num w:numId="5">
    <w:abstractNumId w:val="3"/>
  </w:num>
  <w:num w:numId="6">
    <w:abstractNumId w:val="1"/>
  </w:num>
  <w:num w:numId="7">
    <w:abstractNumId w:val="8"/>
  </w:num>
  <w:num w:numId="8">
    <w:abstractNumId w:val="7"/>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6F5198"/>
    <w:rsid w:val="002707DA"/>
    <w:rsid w:val="004D0B9A"/>
    <w:rsid w:val="006F51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pPr>
      <w:keepNext/>
      <w:spacing w:before="240" w:after="60"/>
    </w:pPr>
    <w:rPr>
      <w:rFonts w:ascii="Arial" w:hAnsi="Arial" w:cs="Arial"/>
      <w:b/>
      <w:bCs/>
      <w:kern w:val="32"/>
      <w:sz w:val="32"/>
      <w:szCs w:val="32"/>
    </w:rPr>
  </w:style>
  <w:style w:type="paragraph" w:styleId="Titolo2">
    <w:name w:val="heading 2"/>
    <w:basedOn w:val="Normale"/>
    <w:next w:val="Normale"/>
    <w:pPr>
      <w:keepNext/>
      <w:jc w:val="center"/>
      <w:outlineLvl w:val="1"/>
    </w:pPr>
    <w:rPr>
      <w:b/>
      <w:bCs/>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spacing w:before="240" w:after="60"/>
      <w:outlineLvl w:val="4"/>
    </w:pPr>
    <w:rPr>
      <w:b/>
      <w:bCs/>
      <w:i/>
      <w:iCs/>
      <w:sz w:val="26"/>
      <w:szCs w:val="26"/>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pPr>
      <w:spacing w:line="360" w:lineRule="auto"/>
      <w:jc w:val="center"/>
    </w:pPr>
    <w:rPr>
      <w:b/>
      <w:bCs/>
    </w:rPr>
  </w:style>
  <w:style w:type="paragraph" w:customStyle="1" w:styleId="n-TitoloFormule">
    <w:name w:val="n-TitoloFormule"/>
    <w:basedOn w:val="Normale"/>
    <w:next w:val="Normale"/>
    <w:pPr>
      <w:numPr>
        <w:numId w:val="1"/>
      </w:numPr>
      <w:ind w:left="930" w:hanging="284"/>
      <w:jc w:val="center"/>
    </w:pPr>
    <w:rPr>
      <w:rFonts w:ascii="Arial" w:hAnsi="Arial"/>
      <w:b/>
      <w:sz w:val="22"/>
    </w:rPr>
  </w:style>
  <w:style w:type="paragraph" w:styleId="Corpotesto">
    <w:name w:val="Body Text"/>
    <w:basedOn w:val="Normale"/>
    <w:pPr>
      <w:jc w:val="both"/>
    </w:pPr>
  </w:style>
  <w:style w:type="paragraph" w:styleId="Rientrocorpodeltesto">
    <w:name w:val="Body Text Indent"/>
    <w:basedOn w:val="Normale"/>
    <w:pPr>
      <w:ind w:firstLine="170"/>
      <w:jc w:val="both"/>
    </w:pPr>
    <w:rPr>
      <w:bCs/>
    </w:rPr>
  </w:style>
  <w:style w:type="paragraph" w:styleId="Rientrocorpodeltesto2">
    <w:name w:val="Body Text Indent 2"/>
    <w:basedOn w:val="Normale"/>
    <w:pPr>
      <w:widowControl w:val="0"/>
      <w:ind w:firstLine="283"/>
      <w:jc w:val="both"/>
    </w:pPr>
  </w:style>
  <w:style w:type="paragraph" w:styleId="Corpodeltesto2">
    <w:name w:val="Body Text 2"/>
    <w:basedOn w:val="Normale"/>
    <w:pPr>
      <w:jc w:val="both"/>
    </w:pPr>
    <w:rPr>
      <w:sz w:val="20"/>
      <w:szCs w:val="20"/>
    </w:rPr>
  </w:style>
  <w:style w:type="paragraph" w:styleId="Intestazione">
    <w:name w:val="header"/>
    <w:basedOn w:val="Normale"/>
  </w:style>
  <w:style w:type="paragraph" w:styleId="Pidipagina">
    <w:name w:val="footer"/>
    <w:basedOn w:val="Normale"/>
  </w:style>
  <w:style w:type="paragraph" w:styleId="Mappadocumento">
    <w:name w:val="Document Map"/>
    <w:basedOn w:val="Normale"/>
    <w:pPr>
      <w:shd w:val="clear" w:color="auto" w:fill="000080"/>
    </w:pPr>
    <w:rPr>
      <w:rFonts w:ascii="Tahoma" w:hAnsi="Tahoma" w:cs="Tahoma"/>
      <w:sz w:val="20"/>
      <w:szCs w:val="20"/>
    </w:rPr>
  </w:style>
  <w:style w:type="paragraph" w:styleId="Corpodeltesto3">
    <w:name w:val="Body Text 3"/>
    <w:basedOn w:val="Normale"/>
    <w:pPr>
      <w:spacing w:after="120"/>
    </w:pPr>
    <w:rPr>
      <w:sz w:val="16"/>
      <w:szCs w:val="16"/>
    </w:rPr>
  </w:style>
  <w:style w:type="paragraph" w:styleId="Rientrocorpodeltesto3">
    <w:name w:val="Body Text Indent 3"/>
    <w:basedOn w:val="Normale"/>
    <w:pPr>
      <w:spacing w:after="120"/>
      <w:ind w:left="283"/>
    </w:pPr>
    <w:rPr>
      <w:sz w:val="16"/>
      <w:szCs w:val="16"/>
    </w:rPr>
  </w:style>
  <w:style w:type="character" w:styleId="Collegamentoipertestuale">
    <w:name w:val="Hyperlink"/>
    <w:rPr>
      <w:color w:val="0000FF"/>
      <w:w w:val="100"/>
      <w:position w:val="-1"/>
      <w:u w:val="single"/>
      <w:effect w:val="none"/>
      <w:vertAlign w:val="baseline"/>
      <w:cs w:val="0"/>
      <w:em w:val="none"/>
    </w:rPr>
  </w:style>
  <w:style w:type="paragraph" w:customStyle="1" w:styleId="z-Sost">
    <w:name w:val="z-Sost"/>
    <w:basedOn w:val="Testonormale"/>
    <w:pPr>
      <w:jc w:val="center"/>
    </w:pPr>
    <w:rPr>
      <w:rFonts w:ascii="Times New Roman" w:hAnsi="Times New Roman"/>
      <w:b/>
      <w:sz w:val="24"/>
    </w:rPr>
  </w:style>
  <w:style w:type="paragraph" w:styleId="Testonormale">
    <w:name w:val="Plain Text"/>
    <w:basedOn w:val="Normale"/>
    <w:rPr>
      <w:rFonts w:ascii="Courier New" w:hAnsi="Courier New" w:cs="Courier New"/>
      <w:sz w:val="20"/>
      <w:szCs w:val="20"/>
    </w:rPr>
  </w:style>
  <w:style w:type="character" w:styleId="Enfasicorsivo">
    <w:name w:val="Emphasis"/>
    <w:rPr>
      <w:i/>
      <w:iCs/>
      <w:w w:val="100"/>
      <w:position w:val="-1"/>
      <w:effect w:val="none"/>
      <w:vertAlign w:val="baseline"/>
      <w:cs w:val="0"/>
      <w:em w:val="none"/>
    </w:rPr>
  </w:style>
  <w:style w:type="character" w:styleId="Numeropagina">
    <w:name w:val="page number"/>
    <w:basedOn w:val="Carpredefinitoparagrafo"/>
    <w:rPr>
      <w:w w:val="100"/>
      <w:position w:val="-1"/>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paragraph" w:customStyle="1" w:styleId="Stilenuovo">
    <w:name w:val="Stile nuovo"/>
    <w:basedOn w:val="Normale"/>
    <w:pPr>
      <w:spacing w:line="360" w:lineRule="auto"/>
      <w:jc w:val="both"/>
    </w:pPr>
    <w:rPr>
      <w:szCs w:val="20"/>
    </w:rPr>
  </w:style>
  <w:style w:type="character" w:customStyle="1" w:styleId="Titolo2Carattere">
    <w:name w:val="Titolo 2 Carattere"/>
    <w:rPr>
      <w:b/>
      <w:bCs/>
      <w:w w:val="100"/>
      <w:position w:val="-1"/>
      <w:sz w:val="24"/>
      <w:szCs w:val="24"/>
      <w:effect w:val="none"/>
      <w:vertAlign w:val="baseline"/>
      <w:cs w:val="0"/>
      <w:em w:val="none"/>
    </w:rPr>
  </w:style>
  <w:style w:type="character" w:customStyle="1" w:styleId="Titolo5Carattere">
    <w:name w:val="Titolo 5 Carattere"/>
    <w:rPr>
      <w:b/>
      <w:bCs/>
      <w:i/>
      <w:iCs/>
      <w:w w:val="100"/>
      <w:position w:val="-1"/>
      <w:sz w:val="26"/>
      <w:szCs w:val="26"/>
      <w:effect w:val="none"/>
      <w:vertAlign w:val="baseline"/>
      <w:cs w:val="0"/>
      <w:em w:val="none"/>
    </w:rPr>
  </w:style>
  <w:style w:type="character" w:customStyle="1" w:styleId="CorpodeltestoCarattere">
    <w:name w:val="Corpo del testo Carattere"/>
    <w:rPr>
      <w:w w:val="100"/>
      <w:position w:val="-1"/>
      <w:sz w:val="24"/>
      <w:szCs w:val="24"/>
      <w:effect w:val="none"/>
      <w:vertAlign w:val="baseline"/>
      <w:cs w:val="0"/>
      <w:em w:val="none"/>
    </w:rPr>
  </w:style>
  <w:style w:type="character" w:customStyle="1" w:styleId="Corpodeltesto2Carattere">
    <w:name w:val="Corpo del testo 2 Carattere"/>
    <w:basedOn w:val="Carpredefinitoparagrafo"/>
    <w:rPr>
      <w:w w:val="100"/>
      <w:position w:val="-1"/>
      <w:effect w:val="none"/>
      <w:vertAlign w:val="baseline"/>
      <w:cs w:val="0"/>
      <w:em w:val="none"/>
    </w:rPr>
  </w:style>
  <w:style w:type="character" w:customStyle="1" w:styleId="IntestazioneCarattere">
    <w:name w:val="Intestazione Carattere"/>
    <w:rPr>
      <w:w w:val="100"/>
      <w:position w:val="-1"/>
      <w:sz w:val="24"/>
      <w:szCs w:val="24"/>
      <w:effect w:val="none"/>
      <w:vertAlign w:val="baseline"/>
      <w:cs w:val="0"/>
      <w:em w:val="none"/>
    </w:rPr>
  </w:style>
  <w:style w:type="character" w:customStyle="1" w:styleId="Corpodeltesto3Carattere">
    <w:name w:val="Corpo del testo 3 Carattere"/>
    <w:rPr>
      <w:w w:val="100"/>
      <w:position w:val="-1"/>
      <w:sz w:val="16"/>
      <w:szCs w:val="16"/>
      <w:effect w:val="none"/>
      <w:vertAlign w:val="baseline"/>
      <w:cs w:val="0"/>
      <w:em w:val="none"/>
    </w:rPr>
  </w:style>
  <w:style w:type="character" w:customStyle="1" w:styleId="Rientrocorpodeltesto3Carattere">
    <w:name w:val="Rientro corpo del testo 3 Carattere"/>
    <w:rPr>
      <w:w w:val="100"/>
      <w:position w:val="-1"/>
      <w:sz w:val="16"/>
      <w:szCs w:val="16"/>
      <w:effect w:val="none"/>
      <w:vertAlign w:val="baseline"/>
      <w:cs w:val="0"/>
      <w:em w:val="none"/>
    </w:rPr>
  </w:style>
  <w:style w:type="paragraph" w:styleId="Testofumetto">
    <w:name w:val="Balloon Text"/>
    <w:basedOn w:val="Normale"/>
    <w:rPr>
      <w:rFonts w:ascii="Tahoma" w:hAnsi="Tahoma" w:cs="Tahoma"/>
      <w:sz w:val="16"/>
      <w:szCs w:val="16"/>
    </w:rPr>
  </w:style>
  <w:style w:type="paragraph" w:customStyle="1" w:styleId="Corpodeltesto31">
    <w:name w:val="Corpo del testo 31"/>
    <w:basedOn w:val="Normale"/>
    <w:pPr>
      <w:suppressAutoHyphens w:val="0"/>
      <w:spacing w:after="120"/>
    </w:pPr>
    <w:rPr>
      <w:sz w:val="16"/>
      <w:szCs w:val="16"/>
      <w:lang w:eastAsia="ar-SA"/>
    </w:rPr>
  </w:style>
  <w:style w:type="paragraph" w:styleId="Paragrafoelenco">
    <w:name w:val="List Paragraph"/>
    <w:basedOn w:val="Normale"/>
    <w:pPr>
      <w:suppressAutoHyphens w:val="0"/>
      <w:ind w:left="720"/>
      <w:contextualSpacing/>
    </w:pPr>
    <w:rPr>
      <w:lang w:eastAsia="ar-SA"/>
    </w:rPr>
  </w:style>
  <w:style w:type="character" w:customStyle="1" w:styleId="Titolo1Carattere">
    <w:name w:val="Titolo 1 Carattere"/>
    <w:rPr>
      <w:rFonts w:ascii="Arial" w:hAnsi="Arial" w:cs="Arial"/>
      <w:b/>
      <w:bCs/>
      <w:w w:val="100"/>
      <w:kern w:val="32"/>
      <w:position w:val="-1"/>
      <w:sz w:val="32"/>
      <w:szCs w:val="32"/>
      <w:effect w:val="none"/>
      <w:vertAlign w:val="baseline"/>
      <w:cs w:val="0"/>
      <w:em w:val="none"/>
    </w:rPr>
  </w:style>
  <w:style w:type="character" w:customStyle="1" w:styleId="CorpotestoCarattere">
    <w:name w:val="Corpo testo Carattere"/>
    <w:rPr>
      <w:w w:val="100"/>
      <w:position w:val="-1"/>
      <w:sz w:val="24"/>
      <w:szCs w:val="24"/>
      <w:effect w:val="none"/>
      <w:vertAlign w:val="baseline"/>
      <w:cs w:val="0"/>
      <w:em w:val="none"/>
    </w:rPr>
  </w:style>
  <w:style w:type="character" w:customStyle="1" w:styleId="s1">
    <w:name w:val="s1"/>
    <w:rPr>
      <w:rFonts w:ascii=".SFUIText-Regular" w:hAnsi=".SFUIText-Regular" w:hint="default"/>
      <w:w w:val="100"/>
      <w:position w:val="-1"/>
      <w:sz w:val="34"/>
      <w:szCs w:val="34"/>
      <w:effect w:val="none"/>
      <w:vertAlign w:val="baseline"/>
      <w:cs w:val="0"/>
      <w:em w:val="none"/>
    </w:rPr>
  </w:style>
  <w:style w:type="character" w:customStyle="1" w:styleId="Menzionenonrisolta">
    <w:name w:val="Menzione non risolta"/>
    <w:qFormat/>
    <w:rPr>
      <w:color w:val="808080"/>
      <w:w w:val="100"/>
      <w:position w:val="-1"/>
      <w:effect w:val="none"/>
      <w:shd w:val="clear" w:color="auto" w:fill="E6E6E6"/>
      <w:vertAlign w:val="baseline"/>
      <w:cs w:val="0"/>
      <w:em w:val="none"/>
    </w:rPr>
  </w:style>
  <w:style w:type="character" w:customStyle="1" w:styleId="PidipaginaCarattere">
    <w:name w:val="Piè di pagina Carattere"/>
    <w:rPr>
      <w:w w:val="100"/>
      <w:position w:val="-1"/>
      <w:sz w:val="24"/>
      <w:szCs w:val="24"/>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pPr>
      <w:keepNext/>
      <w:spacing w:before="240" w:after="60"/>
    </w:pPr>
    <w:rPr>
      <w:rFonts w:ascii="Arial" w:hAnsi="Arial" w:cs="Arial"/>
      <w:b/>
      <w:bCs/>
      <w:kern w:val="32"/>
      <w:sz w:val="32"/>
      <w:szCs w:val="32"/>
    </w:rPr>
  </w:style>
  <w:style w:type="paragraph" w:styleId="Titolo2">
    <w:name w:val="heading 2"/>
    <w:basedOn w:val="Normale"/>
    <w:next w:val="Normale"/>
    <w:pPr>
      <w:keepNext/>
      <w:jc w:val="center"/>
      <w:outlineLvl w:val="1"/>
    </w:pPr>
    <w:rPr>
      <w:b/>
      <w:bCs/>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spacing w:before="240" w:after="60"/>
      <w:outlineLvl w:val="4"/>
    </w:pPr>
    <w:rPr>
      <w:b/>
      <w:bCs/>
      <w:i/>
      <w:iCs/>
      <w:sz w:val="26"/>
      <w:szCs w:val="26"/>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pPr>
      <w:spacing w:line="360" w:lineRule="auto"/>
      <w:jc w:val="center"/>
    </w:pPr>
    <w:rPr>
      <w:b/>
      <w:bCs/>
    </w:rPr>
  </w:style>
  <w:style w:type="paragraph" w:customStyle="1" w:styleId="n-TitoloFormule">
    <w:name w:val="n-TitoloFormule"/>
    <w:basedOn w:val="Normale"/>
    <w:next w:val="Normale"/>
    <w:pPr>
      <w:numPr>
        <w:numId w:val="1"/>
      </w:numPr>
      <w:ind w:left="930" w:hanging="284"/>
      <w:jc w:val="center"/>
    </w:pPr>
    <w:rPr>
      <w:rFonts w:ascii="Arial" w:hAnsi="Arial"/>
      <w:b/>
      <w:sz w:val="22"/>
    </w:rPr>
  </w:style>
  <w:style w:type="paragraph" w:styleId="Corpotesto">
    <w:name w:val="Body Text"/>
    <w:basedOn w:val="Normale"/>
    <w:pPr>
      <w:jc w:val="both"/>
    </w:pPr>
  </w:style>
  <w:style w:type="paragraph" w:styleId="Rientrocorpodeltesto">
    <w:name w:val="Body Text Indent"/>
    <w:basedOn w:val="Normale"/>
    <w:pPr>
      <w:ind w:firstLine="170"/>
      <w:jc w:val="both"/>
    </w:pPr>
    <w:rPr>
      <w:bCs/>
    </w:rPr>
  </w:style>
  <w:style w:type="paragraph" w:styleId="Rientrocorpodeltesto2">
    <w:name w:val="Body Text Indent 2"/>
    <w:basedOn w:val="Normale"/>
    <w:pPr>
      <w:widowControl w:val="0"/>
      <w:ind w:firstLine="283"/>
      <w:jc w:val="both"/>
    </w:pPr>
  </w:style>
  <w:style w:type="paragraph" w:styleId="Corpodeltesto2">
    <w:name w:val="Body Text 2"/>
    <w:basedOn w:val="Normale"/>
    <w:pPr>
      <w:jc w:val="both"/>
    </w:pPr>
    <w:rPr>
      <w:sz w:val="20"/>
      <w:szCs w:val="20"/>
    </w:rPr>
  </w:style>
  <w:style w:type="paragraph" w:styleId="Intestazione">
    <w:name w:val="header"/>
    <w:basedOn w:val="Normale"/>
  </w:style>
  <w:style w:type="paragraph" w:styleId="Pidipagina">
    <w:name w:val="footer"/>
    <w:basedOn w:val="Normale"/>
  </w:style>
  <w:style w:type="paragraph" w:styleId="Mappadocumento">
    <w:name w:val="Document Map"/>
    <w:basedOn w:val="Normale"/>
    <w:pPr>
      <w:shd w:val="clear" w:color="auto" w:fill="000080"/>
    </w:pPr>
    <w:rPr>
      <w:rFonts w:ascii="Tahoma" w:hAnsi="Tahoma" w:cs="Tahoma"/>
      <w:sz w:val="20"/>
      <w:szCs w:val="20"/>
    </w:rPr>
  </w:style>
  <w:style w:type="paragraph" w:styleId="Corpodeltesto3">
    <w:name w:val="Body Text 3"/>
    <w:basedOn w:val="Normale"/>
    <w:pPr>
      <w:spacing w:after="120"/>
    </w:pPr>
    <w:rPr>
      <w:sz w:val="16"/>
      <w:szCs w:val="16"/>
    </w:rPr>
  </w:style>
  <w:style w:type="paragraph" w:styleId="Rientrocorpodeltesto3">
    <w:name w:val="Body Text Indent 3"/>
    <w:basedOn w:val="Normale"/>
    <w:pPr>
      <w:spacing w:after="120"/>
      <w:ind w:left="283"/>
    </w:pPr>
    <w:rPr>
      <w:sz w:val="16"/>
      <w:szCs w:val="16"/>
    </w:rPr>
  </w:style>
  <w:style w:type="character" w:styleId="Collegamentoipertestuale">
    <w:name w:val="Hyperlink"/>
    <w:rPr>
      <w:color w:val="0000FF"/>
      <w:w w:val="100"/>
      <w:position w:val="-1"/>
      <w:u w:val="single"/>
      <w:effect w:val="none"/>
      <w:vertAlign w:val="baseline"/>
      <w:cs w:val="0"/>
      <w:em w:val="none"/>
    </w:rPr>
  </w:style>
  <w:style w:type="paragraph" w:customStyle="1" w:styleId="z-Sost">
    <w:name w:val="z-Sost"/>
    <w:basedOn w:val="Testonormale"/>
    <w:pPr>
      <w:jc w:val="center"/>
    </w:pPr>
    <w:rPr>
      <w:rFonts w:ascii="Times New Roman" w:hAnsi="Times New Roman"/>
      <w:b/>
      <w:sz w:val="24"/>
    </w:rPr>
  </w:style>
  <w:style w:type="paragraph" w:styleId="Testonormale">
    <w:name w:val="Plain Text"/>
    <w:basedOn w:val="Normale"/>
    <w:rPr>
      <w:rFonts w:ascii="Courier New" w:hAnsi="Courier New" w:cs="Courier New"/>
      <w:sz w:val="20"/>
      <w:szCs w:val="20"/>
    </w:rPr>
  </w:style>
  <w:style w:type="character" w:styleId="Enfasicorsivo">
    <w:name w:val="Emphasis"/>
    <w:rPr>
      <w:i/>
      <w:iCs/>
      <w:w w:val="100"/>
      <w:position w:val="-1"/>
      <w:effect w:val="none"/>
      <w:vertAlign w:val="baseline"/>
      <w:cs w:val="0"/>
      <w:em w:val="none"/>
    </w:rPr>
  </w:style>
  <w:style w:type="character" w:styleId="Numeropagina">
    <w:name w:val="page number"/>
    <w:basedOn w:val="Carpredefinitoparagrafo"/>
    <w:rPr>
      <w:w w:val="100"/>
      <w:position w:val="-1"/>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paragraph" w:customStyle="1" w:styleId="Stilenuovo">
    <w:name w:val="Stile nuovo"/>
    <w:basedOn w:val="Normale"/>
    <w:pPr>
      <w:spacing w:line="360" w:lineRule="auto"/>
      <w:jc w:val="both"/>
    </w:pPr>
    <w:rPr>
      <w:szCs w:val="20"/>
    </w:rPr>
  </w:style>
  <w:style w:type="character" w:customStyle="1" w:styleId="Titolo2Carattere">
    <w:name w:val="Titolo 2 Carattere"/>
    <w:rPr>
      <w:b/>
      <w:bCs/>
      <w:w w:val="100"/>
      <w:position w:val="-1"/>
      <w:sz w:val="24"/>
      <w:szCs w:val="24"/>
      <w:effect w:val="none"/>
      <w:vertAlign w:val="baseline"/>
      <w:cs w:val="0"/>
      <w:em w:val="none"/>
    </w:rPr>
  </w:style>
  <w:style w:type="character" w:customStyle="1" w:styleId="Titolo5Carattere">
    <w:name w:val="Titolo 5 Carattere"/>
    <w:rPr>
      <w:b/>
      <w:bCs/>
      <w:i/>
      <w:iCs/>
      <w:w w:val="100"/>
      <w:position w:val="-1"/>
      <w:sz w:val="26"/>
      <w:szCs w:val="26"/>
      <w:effect w:val="none"/>
      <w:vertAlign w:val="baseline"/>
      <w:cs w:val="0"/>
      <w:em w:val="none"/>
    </w:rPr>
  </w:style>
  <w:style w:type="character" w:customStyle="1" w:styleId="CorpodeltestoCarattere">
    <w:name w:val="Corpo del testo Carattere"/>
    <w:rPr>
      <w:w w:val="100"/>
      <w:position w:val="-1"/>
      <w:sz w:val="24"/>
      <w:szCs w:val="24"/>
      <w:effect w:val="none"/>
      <w:vertAlign w:val="baseline"/>
      <w:cs w:val="0"/>
      <w:em w:val="none"/>
    </w:rPr>
  </w:style>
  <w:style w:type="character" w:customStyle="1" w:styleId="Corpodeltesto2Carattere">
    <w:name w:val="Corpo del testo 2 Carattere"/>
    <w:basedOn w:val="Carpredefinitoparagrafo"/>
    <w:rPr>
      <w:w w:val="100"/>
      <w:position w:val="-1"/>
      <w:effect w:val="none"/>
      <w:vertAlign w:val="baseline"/>
      <w:cs w:val="0"/>
      <w:em w:val="none"/>
    </w:rPr>
  </w:style>
  <w:style w:type="character" w:customStyle="1" w:styleId="IntestazioneCarattere">
    <w:name w:val="Intestazione Carattere"/>
    <w:rPr>
      <w:w w:val="100"/>
      <w:position w:val="-1"/>
      <w:sz w:val="24"/>
      <w:szCs w:val="24"/>
      <w:effect w:val="none"/>
      <w:vertAlign w:val="baseline"/>
      <w:cs w:val="0"/>
      <w:em w:val="none"/>
    </w:rPr>
  </w:style>
  <w:style w:type="character" w:customStyle="1" w:styleId="Corpodeltesto3Carattere">
    <w:name w:val="Corpo del testo 3 Carattere"/>
    <w:rPr>
      <w:w w:val="100"/>
      <w:position w:val="-1"/>
      <w:sz w:val="16"/>
      <w:szCs w:val="16"/>
      <w:effect w:val="none"/>
      <w:vertAlign w:val="baseline"/>
      <w:cs w:val="0"/>
      <w:em w:val="none"/>
    </w:rPr>
  </w:style>
  <w:style w:type="character" w:customStyle="1" w:styleId="Rientrocorpodeltesto3Carattere">
    <w:name w:val="Rientro corpo del testo 3 Carattere"/>
    <w:rPr>
      <w:w w:val="100"/>
      <w:position w:val="-1"/>
      <w:sz w:val="16"/>
      <w:szCs w:val="16"/>
      <w:effect w:val="none"/>
      <w:vertAlign w:val="baseline"/>
      <w:cs w:val="0"/>
      <w:em w:val="none"/>
    </w:rPr>
  </w:style>
  <w:style w:type="paragraph" w:styleId="Testofumetto">
    <w:name w:val="Balloon Text"/>
    <w:basedOn w:val="Normale"/>
    <w:rPr>
      <w:rFonts w:ascii="Tahoma" w:hAnsi="Tahoma" w:cs="Tahoma"/>
      <w:sz w:val="16"/>
      <w:szCs w:val="16"/>
    </w:rPr>
  </w:style>
  <w:style w:type="paragraph" w:customStyle="1" w:styleId="Corpodeltesto31">
    <w:name w:val="Corpo del testo 31"/>
    <w:basedOn w:val="Normale"/>
    <w:pPr>
      <w:suppressAutoHyphens w:val="0"/>
      <w:spacing w:after="120"/>
    </w:pPr>
    <w:rPr>
      <w:sz w:val="16"/>
      <w:szCs w:val="16"/>
      <w:lang w:eastAsia="ar-SA"/>
    </w:rPr>
  </w:style>
  <w:style w:type="paragraph" w:styleId="Paragrafoelenco">
    <w:name w:val="List Paragraph"/>
    <w:basedOn w:val="Normale"/>
    <w:pPr>
      <w:suppressAutoHyphens w:val="0"/>
      <w:ind w:left="720"/>
      <w:contextualSpacing/>
    </w:pPr>
    <w:rPr>
      <w:lang w:eastAsia="ar-SA"/>
    </w:rPr>
  </w:style>
  <w:style w:type="character" w:customStyle="1" w:styleId="Titolo1Carattere">
    <w:name w:val="Titolo 1 Carattere"/>
    <w:rPr>
      <w:rFonts w:ascii="Arial" w:hAnsi="Arial" w:cs="Arial"/>
      <w:b/>
      <w:bCs/>
      <w:w w:val="100"/>
      <w:kern w:val="32"/>
      <w:position w:val="-1"/>
      <w:sz w:val="32"/>
      <w:szCs w:val="32"/>
      <w:effect w:val="none"/>
      <w:vertAlign w:val="baseline"/>
      <w:cs w:val="0"/>
      <w:em w:val="none"/>
    </w:rPr>
  </w:style>
  <w:style w:type="character" w:customStyle="1" w:styleId="CorpotestoCarattere">
    <w:name w:val="Corpo testo Carattere"/>
    <w:rPr>
      <w:w w:val="100"/>
      <w:position w:val="-1"/>
      <w:sz w:val="24"/>
      <w:szCs w:val="24"/>
      <w:effect w:val="none"/>
      <w:vertAlign w:val="baseline"/>
      <w:cs w:val="0"/>
      <w:em w:val="none"/>
    </w:rPr>
  </w:style>
  <w:style w:type="character" w:customStyle="1" w:styleId="s1">
    <w:name w:val="s1"/>
    <w:rPr>
      <w:rFonts w:ascii=".SFUIText-Regular" w:hAnsi=".SFUIText-Regular" w:hint="default"/>
      <w:w w:val="100"/>
      <w:position w:val="-1"/>
      <w:sz w:val="34"/>
      <w:szCs w:val="34"/>
      <w:effect w:val="none"/>
      <w:vertAlign w:val="baseline"/>
      <w:cs w:val="0"/>
      <w:em w:val="none"/>
    </w:rPr>
  </w:style>
  <w:style w:type="character" w:customStyle="1" w:styleId="Menzionenonrisolta">
    <w:name w:val="Menzione non risolta"/>
    <w:qFormat/>
    <w:rPr>
      <w:color w:val="808080"/>
      <w:w w:val="100"/>
      <w:position w:val="-1"/>
      <w:effect w:val="none"/>
      <w:shd w:val="clear" w:color="auto" w:fill="E6E6E6"/>
      <w:vertAlign w:val="baseline"/>
      <w:cs w:val="0"/>
      <w:em w:val="none"/>
    </w:rPr>
  </w:style>
  <w:style w:type="character" w:customStyle="1" w:styleId="PidipaginaCarattere">
    <w:name w:val="Piè di pagina Carattere"/>
    <w:rPr>
      <w:w w:val="100"/>
      <w:position w:val="-1"/>
      <w:sz w:val="24"/>
      <w:szCs w:val="24"/>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ertapvp.dgsia@giustiziacer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5955</Words>
  <Characters>33949</Characters>
  <Application>Microsoft Office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39825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Perna</dc:creator>
  <cp:lastModifiedBy>Barbara Perna</cp:lastModifiedBy>
  <cp:revision>2</cp:revision>
  <dcterms:created xsi:type="dcterms:W3CDTF">2018-03-27T06:19:00Z</dcterms:created>
  <dcterms:modified xsi:type="dcterms:W3CDTF">2018-03-27T06:19:00Z</dcterms:modified>
</cp:coreProperties>
</file>