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58B7F" w14:textId="02C28C71" w:rsidR="00703E69" w:rsidRDefault="00703E69" w:rsidP="00404AA3">
      <w:pPr>
        <w:widowControl w:val="0"/>
        <w:tabs>
          <w:tab w:val="left" w:pos="567"/>
        </w:tabs>
        <w:autoSpaceDE w:val="0"/>
        <w:autoSpaceDN w:val="0"/>
        <w:adjustRightInd w:val="0"/>
        <w:ind w:firstLine="567"/>
        <w:jc w:val="both"/>
        <w:rPr>
          <w:rFonts w:ascii="Verdana" w:hAnsi="Verdana" w:cs="PT Sans"/>
          <w:b/>
          <w:bCs/>
          <w:sz w:val="20"/>
          <w:szCs w:val="20"/>
        </w:rPr>
      </w:pPr>
      <w:r>
        <w:rPr>
          <w:rFonts w:ascii="Verdana" w:hAnsi="Verdana" w:cs="PT Sans"/>
          <w:b/>
          <w:bCs/>
          <w:sz w:val="20"/>
          <w:szCs w:val="20"/>
        </w:rPr>
        <w:t>SULLA (IL)LEGITTIMIT</w:t>
      </w:r>
      <w:r w:rsidR="003F71F2">
        <w:rPr>
          <w:rFonts w:ascii="Verdana" w:hAnsi="Verdana" w:cs="PT Sans"/>
          <w:b/>
          <w:bCs/>
          <w:sz w:val="20"/>
          <w:szCs w:val="20"/>
        </w:rPr>
        <w:t xml:space="preserve">A’ </w:t>
      </w:r>
      <w:r>
        <w:rPr>
          <w:rFonts w:ascii="Verdana" w:hAnsi="Verdana" w:cs="PT Sans"/>
          <w:b/>
          <w:bCs/>
          <w:sz w:val="20"/>
          <w:szCs w:val="20"/>
        </w:rPr>
        <w:t xml:space="preserve">DEL RIFIUTO DEL CONSERVATORE DI PURGARE IL BENE PIGNORATO DAI VINCOLI </w:t>
      </w:r>
      <w:r w:rsidR="003F71F2">
        <w:rPr>
          <w:rFonts w:ascii="Verdana" w:hAnsi="Verdana" w:cs="PT Sans"/>
          <w:b/>
          <w:bCs/>
          <w:sz w:val="20"/>
          <w:szCs w:val="20"/>
        </w:rPr>
        <w:t>PREGIUDIZIEVOLI</w:t>
      </w:r>
    </w:p>
    <w:p w14:paraId="064531ED" w14:textId="77777777" w:rsidR="00703E69" w:rsidRPr="006D1338" w:rsidRDefault="00703E69" w:rsidP="00404AA3">
      <w:pPr>
        <w:widowControl w:val="0"/>
        <w:tabs>
          <w:tab w:val="left" w:pos="567"/>
        </w:tabs>
        <w:autoSpaceDE w:val="0"/>
        <w:autoSpaceDN w:val="0"/>
        <w:adjustRightInd w:val="0"/>
        <w:ind w:firstLine="567"/>
        <w:jc w:val="both"/>
        <w:rPr>
          <w:rFonts w:ascii="Verdana" w:hAnsi="Verdana"/>
          <w:sz w:val="20"/>
          <w:szCs w:val="20"/>
        </w:rPr>
      </w:pPr>
    </w:p>
    <w:p w14:paraId="2798F9B6" w14:textId="0DF8FD55" w:rsidR="00703E69" w:rsidRPr="006D1338" w:rsidRDefault="00703E69" w:rsidP="00404AA3">
      <w:pPr>
        <w:tabs>
          <w:tab w:val="left" w:pos="567"/>
        </w:tabs>
        <w:ind w:firstLine="567"/>
        <w:jc w:val="both"/>
        <w:rPr>
          <w:rFonts w:ascii="Verdana" w:hAnsi="Verdana"/>
          <w:b/>
          <w:sz w:val="20"/>
          <w:szCs w:val="20"/>
        </w:rPr>
      </w:pPr>
      <w:r>
        <w:rPr>
          <w:rFonts w:ascii="Verdana" w:hAnsi="Verdana"/>
          <w:b/>
          <w:bCs/>
          <w:sz w:val="20"/>
          <w:szCs w:val="20"/>
        </w:rPr>
        <w:t xml:space="preserve">Roma, </w:t>
      </w:r>
      <w:r w:rsidR="005F0CC1">
        <w:rPr>
          <w:rFonts w:ascii="Verdana" w:hAnsi="Verdana"/>
          <w:b/>
          <w:bCs/>
          <w:sz w:val="20"/>
          <w:szCs w:val="20"/>
        </w:rPr>
        <w:t>6</w:t>
      </w:r>
      <w:r w:rsidRPr="006D1338">
        <w:rPr>
          <w:rFonts w:ascii="Verdana" w:hAnsi="Verdana"/>
          <w:b/>
          <w:bCs/>
          <w:sz w:val="20"/>
          <w:szCs w:val="20"/>
        </w:rPr>
        <w:t xml:space="preserve"> </w:t>
      </w:r>
      <w:r w:rsidR="005F0CC1">
        <w:rPr>
          <w:rFonts w:ascii="Verdana" w:hAnsi="Verdana"/>
          <w:b/>
          <w:bCs/>
          <w:sz w:val="20"/>
          <w:szCs w:val="20"/>
        </w:rPr>
        <w:t>novem</w:t>
      </w:r>
      <w:r>
        <w:rPr>
          <w:rFonts w:ascii="Verdana" w:hAnsi="Verdana"/>
          <w:b/>
          <w:bCs/>
          <w:sz w:val="20"/>
          <w:szCs w:val="20"/>
        </w:rPr>
        <w:t>bre</w:t>
      </w:r>
      <w:r w:rsidRPr="006D1338">
        <w:rPr>
          <w:rFonts w:ascii="Verdana" w:hAnsi="Verdana"/>
          <w:b/>
          <w:bCs/>
          <w:sz w:val="20"/>
          <w:szCs w:val="20"/>
        </w:rPr>
        <w:t xml:space="preserve"> 2017</w:t>
      </w:r>
      <w:r w:rsidRPr="006D1338">
        <w:rPr>
          <w:rFonts w:ascii="Verdana" w:hAnsi="Verdana"/>
          <w:b/>
          <w:bCs/>
          <w:sz w:val="20"/>
          <w:szCs w:val="20"/>
        </w:rPr>
        <w:br/>
      </w:r>
      <w:r w:rsidRPr="006D1338">
        <w:rPr>
          <w:rFonts w:ascii="Verdana" w:hAnsi="Verdana"/>
          <w:b/>
          <w:sz w:val="20"/>
          <w:szCs w:val="20"/>
        </w:rPr>
        <w:t>di Pasqualina Farina – Professore aggregato di diritto processuale civile e diritto della crisi d’impresa</w:t>
      </w:r>
    </w:p>
    <w:p w14:paraId="32B07FD4" w14:textId="77777777" w:rsidR="00703E69" w:rsidRPr="006D1338" w:rsidRDefault="00703E69" w:rsidP="00404AA3">
      <w:pPr>
        <w:tabs>
          <w:tab w:val="left" w:pos="567"/>
        </w:tabs>
        <w:ind w:firstLine="567"/>
        <w:jc w:val="both"/>
        <w:rPr>
          <w:rFonts w:ascii="Verdana" w:hAnsi="Verdana"/>
          <w:b/>
          <w:sz w:val="20"/>
          <w:szCs w:val="20"/>
        </w:rPr>
      </w:pPr>
    </w:p>
    <w:p w14:paraId="72ACBD11" w14:textId="54D004C0" w:rsidR="00703E69" w:rsidRPr="006D1338" w:rsidRDefault="00703E69" w:rsidP="00404AA3">
      <w:pPr>
        <w:widowControl w:val="0"/>
        <w:tabs>
          <w:tab w:val="left" w:pos="567"/>
        </w:tabs>
        <w:autoSpaceDE w:val="0"/>
        <w:autoSpaceDN w:val="0"/>
        <w:adjustRightInd w:val="0"/>
        <w:ind w:firstLine="567"/>
        <w:jc w:val="both"/>
        <w:rPr>
          <w:rFonts w:ascii="Verdana" w:hAnsi="Verdana" w:cs="PT Sans"/>
          <w:b/>
          <w:iCs/>
          <w:sz w:val="20"/>
          <w:szCs w:val="20"/>
        </w:rPr>
      </w:pPr>
      <w:r w:rsidRPr="006D1338">
        <w:rPr>
          <w:rFonts w:ascii="Verdana" w:hAnsi="Verdana" w:cs="PT Sans"/>
          <w:b/>
          <w:sz w:val="20"/>
          <w:szCs w:val="20"/>
        </w:rPr>
        <w:t xml:space="preserve">Trib. </w:t>
      </w:r>
      <w:r>
        <w:rPr>
          <w:rFonts w:ascii="Verdana" w:hAnsi="Verdana" w:cs="PT Sans"/>
          <w:b/>
          <w:sz w:val="20"/>
          <w:szCs w:val="20"/>
        </w:rPr>
        <w:t>Lucca</w:t>
      </w:r>
      <w:r w:rsidRPr="006D1338">
        <w:rPr>
          <w:rFonts w:ascii="Verdana" w:hAnsi="Verdana" w:cs="PT Sans"/>
          <w:b/>
          <w:sz w:val="20"/>
          <w:szCs w:val="20"/>
        </w:rPr>
        <w:t xml:space="preserve">- </w:t>
      </w:r>
      <w:r w:rsidRPr="00F30DBB">
        <w:rPr>
          <w:rFonts w:ascii="Verdana" w:hAnsi="Verdana" w:cs="PT Sans"/>
          <w:b/>
          <w:sz w:val="20"/>
          <w:szCs w:val="20"/>
        </w:rPr>
        <w:t xml:space="preserve">Sez. </w:t>
      </w:r>
      <w:r w:rsidR="003F71F2">
        <w:rPr>
          <w:rFonts w:ascii="Verdana" w:hAnsi="Verdana" w:cs="PT Sans"/>
          <w:b/>
          <w:sz w:val="20"/>
          <w:szCs w:val="20"/>
        </w:rPr>
        <w:t>civile</w:t>
      </w:r>
      <w:r w:rsidRPr="00F30DBB">
        <w:rPr>
          <w:rFonts w:ascii="Verdana" w:hAnsi="Verdana" w:cs="PT Sans"/>
          <w:b/>
          <w:sz w:val="20"/>
          <w:szCs w:val="20"/>
        </w:rPr>
        <w:t xml:space="preserve"> - </w:t>
      </w:r>
      <w:r>
        <w:rPr>
          <w:rFonts w:ascii="Verdana" w:hAnsi="Verdana" w:cs="PT Sans"/>
          <w:b/>
          <w:sz w:val="20"/>
          <w:szCs w:val="20"/>
        </w:rPr>
        <w:t>2</w:t>
      </w:r>
      <w:r w:rsidRPr="00F30DBB">
        <w:rPr>
          <w:rFonts w:ascii="Verdana" w:hAnsi="Verdana" w:cs="PT Sans"/>
          <w:b/>
          <w:sz w:val="20"/>
          <w:szCs w:val="20"/>
        </w:rPr>
        <w:t xml:space="preserve">6 </w:t>
      </w:r>
      <w:r>
        <w:rPr>
          <w:rFonts w:ascii="Verdana" w:hAnsi="Verdana" w:cs="PT Sans"/>
          <w:b/>
          <w:sz w:val="20"/>
          <w:szCs w:val="20"/>
        </w:rPr>
        <w:t>lugli</w:t>
      </w:r>
      <w:r w:rsidRPr="00F30DBB">
        <w:rPr>
          <w:rFonts w:ascii="Verdana" w:hAnsi="Verdana" w:cs="PT Sans"/>
          <w:b/>
          <w:sz w:val="20"/>
          <w:szCs w:val="20"/>
        </w:rPr>
        <w:t xml:space="preserve">o 2017- </w:t>
      </w:r>
      <w:r>
        <w:rPr>
          <w:rFonts w:ascii="Verdana" w:hAnsi="Verdana" w:cs="PT Sans"/>
          <w:b/>
          <w:sz w:val="20"/>
          <w:szCs w:val="20"/>
        </w:rPr>
        <w:t xml:space="preserve">Pres. G.L.M. Giuntoli, </w:t>
      </w:r>
      <w:r w:rsidRPr="00F30DBB">
        <w:rPr>
          <w:rFonts w:ascii="Verdana" w:hAnsi="Verdana" w:cs="PT Sans"/>
          <w:b/>
          <w:sz w:val="20"/>
          <w:szCs w:val="20"/>
        </w:rPr>
        <w:t xml:space="preserve">Giudice </w:t>
      </w:r>
      <w:r>
        <w:rPr>
          <w:rFonts w:ascii="Verdana" w:hAnsi="Verdana" w:cs="PT Sans"/>
          <w:b/>
          <w:sz w:val="20"/>
          <w:szCs w:val="20"/>
        </w:rPr>
        <w:t>rel</w:t>
      </w:r>
      <w:r w:rsidRPr="00F30DBB">
        <w:rPr>
          <w:rFonts w:ascii="Verdana" w:hAnsi="Verdana" w:cs="PT Sans"/>
          <w:b/>
          <w:sz w:val="20"/>
          <w:szCs w:val="20"/>
        </w:rPr>
        <w:t xml:space="preserve">. </w:t>
      </w:r>
      <w:r>
        <w:rPr>
          <w:rFonts w:ascii="Verdana" w:hAnsi="Verdana" w:cs="PT Sans"/>
          <w:b/>
          <w:sz w:val="20"/>
          <w:szCs w:val="20"/>
        </w:rPr>
        <w:t xml:space="preserve">G. Fabbrizi </w:t>
      </w:r>
    </w:p>
    <w:p w14:paraId="67DE3334" w14:textId="77777777" w:rsidR="00703E69" w:rsidRPr="006D1338" w:rsidRDefault="00703E69" w:rsidP="00404AA3">
      <w:pPr>
        <w:tabs>
          <w:tab w:val="left" w:pos="567"/>
        </w:tabs>
        <w:ind w:firstLine="567"/>
        <w:jc w:val="both"/>
        <w:rPr>
          <w:rFonts w:ascii="Verdana" w:hAnsi="Verdana"/>
          <w:b/>
          <w:bCs/>
          <w:sz w:val="20"/>
          <w:szCs w:val="20"/>
        </w:rPr>
      </w:pPr>
    </w:p>
    <w:p w14:paraId="525F3FCF" w14:textId="77777777" w:rsidR="00703E69" w:rsidRPr="006D1338" w:rsidRDefault="00703E69" w:rsidP="00404AA3">
      <w:pPr>
        <w:tabs>
          <w:tab w:val="left" w:pos="567"/>
        </w:tabs>
        <w:ind w:firstLine="567"/>
        <w:jc w:val="both"/>
        <w:rPr>
          <w:rFonts w:ascii="Verdana" w:hAnsi="Verdana"/>
          <w:b/>
          <w:sz w:val="20"/>
          <w:szCs w:val="20"/>
        </w:rPr>
      </w:pPr>
      <w:r w:rsidRPr="006D1338">
        <w:rPr>
          <w:rFonts w:ascii="Verdana" w:hAnsi="Verdana"/>
          <w:b/>
          <w:bCs/>
          <w:sz w:val="20"/>
          <w:szCs w:val="20"/>
        </w:rPr>
        <w:t>VOCE BUSSOLA</w:t>
      </w:r>
      <w:r w:rsidRPr="006D1338">
        <w:rPr>
          <w:rFonts w:ascii="Verdana" w:hAnsi="Verdana"/>
          <w:b/>
          <w:bCs/>
          <w:sz w:val="20"/>
          <w:szCs w:val="20"/>
        </w:rPr>
        <w:br/>
      </w:r>
      <w:r w:rsidRPr="006D1338">
        <w:rPr>
          <w:rFonts w:ascii="Verdana" w:hAnsi="Verdana"/>
          <w:b/>
          <w:sz w:val="20"/>
          <w:szCs w:val="20"/>
        </w:rPr>
        <w:t xml:space="preserve">Espropriazione forzata </w:t>
      </w:r>
      <w:r>
        <w:rPr>
          <w:rFonts w:ascii="Verdana" w:hAnsi="Verdana"/>
          <w:b/>
          <w:sz w:val="20"/>
          <w:szCs w:val="20"/>
        </w:rPr>
        <w:t>–</w:t>
      </w:r>
      <w:r w:rsidRPr="006D1338">
        <w:rPr>
          <w:rFonts w:ascii="Verdana" w:hAnsi="Verdana"/>
          <w:b/>
          <w:sz w:val="20"/>
          <w:szCs w:val="20"/>
        </w:rPr>
        <w:t xml:space="preserve"> </w:t>
      </w:r>
      <w:r>
        <w:rPr>
          <w:rFonts w:ascii="Verdana" w:hAnsi="Verdana"/>
          <w:b/>
          <w:sz w:val="20"/>
          <w:szCs w:val="20"/>
        </w:rPr>
        <w:t>Decreto di trasferimento</w:t>
      </w:r>
      <w:r w:rsidR="00D96030">
        <w:rPr>
          <w:rFonts w:ascii="Verdana" w:hAnsi="Verdana"/>
          <w:b/>
          <w:sz w:val="20"/>
          <w:szCs w:val="20"/>
        </w:rPr>
        <w:t xml:space="preserve"> – Effetto purgativo della vendita forzata</w:t>
      </w:r>
      <w:r w:rsidRPr="006D1338">
        <w:rPr>
          <w:rFonts w:ascii="Verdana" w:hAnsi="Verdana"/>
          <w:b/>
          <w:sz w:val="20"/>
          <w:szCs w:val="20"/>
        </w:rPr>
        <w:t xml:space="preserve"> </w:t>
      </w:r>
    </w:p>
    <w:p w14:paraId="2B1FD3F3" w14:textId="77777777" w:rsidR="00703E69" w:rsidRPr="006D1338" w:rsidRDefault="00703E69" w:rsidP="00404AA3">
      <w:pPr>
        <w:tabs>
          <w:tab w:val="left" w:pos="567"/>
        </w:tabs>
        <w:ind w:firstLine="567"/>
        <w:jc w:val="both"/>
        <w:rPr>
          <w:rFonts w:ascii="Verdana" w:hAnsi="Verdana"/>
          <w:b/>
          <w:sz w:val="20"/>
          <w:szCs w:val="20"/>
        </w:rPr>
      </w:pPr>
    </w:p>
    <w:p w14:paraId="7F12CC64" w14:textId="77777777" w:rsidR="00703E69" w:rsidRPr="006D1338" w:rsidRDefault="00703E69" w:rsidP="00404AA3">
      <w:pPr>
        <w:tabs>
          <w:tab w:val="left" w:pos="567"/>
        </w:tabs>
        <w:ind w:firstLine="567"/>
        <w:jc w:val="both"/>
        <w:rPr>
          <w:rFonts w:ascii="Verdana" w:hAnsi="Verdana"/>
          <w:b/>
          <w:bCs/>
          <w:sz w:val="20"/>
          <w:szCs w:val="20"/>
        </w:rPr>
      </w:pPr>
      <w:r w:rsidRPr="006D1338">
        <w:rPr>
          <w:rFonts w:ascii="Verdana" w:hAnsi="Verdana"/>
          <w:b/>
          <w:bCs/>
          <w:sz w:val="20"/>
          <w:szCs w:val="20"/>
        </w:rPr>
        <w:t>SOMMARIO</w:t>
      </w:r>
      <w:r w:rsidRPr="006D1338">
        <w:rPr>
          <w:rFonts w:ascii="Verdana" w:hAnsi="Verdana"/>
          <w:b/>
          <w:bCs/>
          <w:sz w:val="20"/>
          <w:szCs w:val="20"/>
        </w:rPr>
        <w:br/>
        <w:t>Massima – Il Caso – La Questione – Le Soluzioni giuridiche – Osservazioni - Guida all’approfondimento</w:t>
      </w:r>
    </w:p>
    <w:p w14:paraId="0F382499" w14:textId="77777777" w:rsidR="00703E69" w:rsidRPr="006D1338" w:rsidRDefault="00703E69" w:rsidP="00404AA3">
      <w:pPr>
        <w:widowControl w:val="0"/>
        <w:tabs>
          <w:tab w:val="left" w:pos="567"/>
        </w:tabs>
        <w:autoSpaceDE w:val="0"/>
        <w:autoSpaceDN w:val="0"/>
        <w:adjustRightInd w:val="0"/>
        <w:ind w:firstLine="567"/>
        <w:jc w:val="both"/>
        <w:rPr>
          <w:rFonts w:ascii="Verdana" w:hAnsi="Verdana" w:cs="PT Sans"/>
          <w:b/>
          <w:bCs/>
          <w:sz w:val="20"/>
          <w:szCs w:val="20"/>
        </w:rPr>
      </w:pPr>
    </w:p>
    <w:p w14:paraId="02BCD00E" w14:textId="77777777" w:rsidR="00703E69" w:rsidRPr="006D1338" w:rsidRDefault="00703E69" w:rsidP="00404AA3">
      <w:pPr>
        <w:widowControl w:val="0"/>
        <w:tabs>
          <w:tab w:val="left" w:pos="567"/>
        </w:tabs>
        <w:autoSpaceDE w:val="0"/>
        <w:autoSpaceDN w:val="0"/>
        <w:adjustRightInd w:val="0"/>
        <w:ind w:firstLine="567"/>
        <w:jc w:val="both"/>
        <w:rPr>
          <w:rFonts w:ascii="Verdana" w:hAnsi="Verdana" w:cs="PT Sans"/>
          <w:b/>
          <w:bCs/>
          <w:sz w:val="20"/>
          <w:szCs w:val="20"/>
        </w:rPr>
      </w:pPr>
      <w:r w:rsidRPr="006D1338">
        <w:rPr>
          <w:rFonts w:ascii="Verdana" w:hAnsi="Verdana"/>
          <w:b/>
          <w:sz w:val="20"/>
          <w:szCs w:val="20"/>
        </w:rPr>
        <w:t>MASSIMA</w:t>
      </w:r>
    </w:p>
    <w:p w14:paraId="5F2C3FE1" w14:textId="1694B01D" w:rsidR="00703E69" w:rsidRDefault="00703E69" w:rsidP="00404AA3">
      <w:pPr>
        <w:tabs>
          <w:tab w:val="left" w:pos="567"/>
          <w:tab w:val="left" w:pos="7380"/>
        </w:tabs>
        <w:ind w:firstLine="567"/>
        <w:jc w:val="both"/>
        <w:rPr>
          <w:rFonts w:ascii="Verdana" w:hAnsi="Verdana" w:cs="PT Sans"/>
          <w:i/>
          <w:iCs/>
          <w:sz w:val="20"/>
          <w:szCs w:val="20"/>
        </w:rPr>
      </w:pPr>
      <w:r>
        <w:rPr>
          <w:rFonts w:ascii="Verdana" w:hAnsi="Verdana" w:cs="Arial"/>
          <w:i/>
          <w:sz w:val="20"/>
          <w:szCs w:val="20"/>
        </w:rPr>
        <w:t>È l</w:t>
      </w:r>
      <w:r w:rsidRPr="006D1338">
        <w:rPr>
          <w:rFonts w:ascii="Verdana" w:hAnsi="Verdana" w:cs="Arial"/>
          <w:i/>
          <w:sz w:val="20"/>
          <w:szCs w:val="20"/>
        </w:rPr>
        <w:t>e</w:t>
      </w:r>
      <w:r>
        <w:rPr>
          <w:rFonts w:ascii="Verdana" w:hAnsi="Verdana" w:cs="Arial"/>
          <w:i/>
          <w:sz w:val="20"/>
          <w:szCs w:val="20"/>
        </w:rPr>
        <w:t>gittimo il rifiuto del Conservatore di procedere alla cancellazione di un’iscrizione ipotecaria o della trascrizione del pignoramento</w:t>
      </w:r>
      <w:r w:rsidRPr="006D1338">
        <w:rPr>
          <w:rFonts w:ascii="Verdana" w:hAnsi="Verdana" w:cs="Arial"/>
          <w:i/>
          <w:sz w:val="20"/>
          <w:szCs w:val="20"/>
        </w:rPr>
        <w:t xml:space="preserve"> </w:t>
      </w:r>
      <w:r>
        <w:rPr>
          <w:rFonts w:ascii="Verdana" w:hAnsi="Verdana" w:cs="Arial"/>
          <w:i/>
          <w:sz w:val="20"/>
          <w:szCs w:val="20"/>
        </w:rPr>
        <w:t>ordinata con decreto di tr</w:t>
      </w:r>
      <w:r w:rsidR="00613A41">
        <w:rPr>
          <w:rFonts w:ascii="Verdana" w:hAnsi="Verdana" w:cs="Arial"/>
          <w:i/>
          <w:sz w:val="20"/>
          <w:szCs w:val="20"/>
        </w:rPr>
        <w:t xml:space="preserve">asferimento per il quale non consti l’inutile decorso del termine di venti giorni dalla conoscenza legale dell’atto; ovvero avverso il quale sia stata proposta opposizione agli atti esecutivi non definita con sentenza passata in giudicato. </w:t>
      </w:r>
    </w:p>
    <w:p w14:paraId="3F9B89A2" w14:textId="77777777" w:rsidR="00703E69" w:rsidRPr="006D1338" w:rsidRDefault="00703E69" w:rsidP="00404AA3">
      <w:pPr>
        <w:tabs>
          <w:tab w:val="left" w:pos="567"/>
          <w:tab w:val="left" w:pos="7380"/>
        </w:tabs>
        <w:ind w:firstLine="567"/>
        <w:jc w:val="both"/>
        <w:rPr>
          <w:rFonts w:ascii="Verdana" w:hAnsi="Verdana" w:cs="Arial"/>
          <w:b/>
          <w:sz w:val="20"/>
          <w:szCs w:val="20"/>
        </w:rPr>
      </w:pPr>
    </w:p>
    <w:p w14:paraId="4CFBDF19" w14:textId="77777777" w:rsidR="00703E69" w:rsidRPr="006D1338" w:rsidRDefault="00703E69" w:rsidP="00404AA3">
      <w:pPr>
        <w:tabs>
          <w:tab w:val="left" w:pos="567"/>
          <w:tab w:val="left" w:pos="7380"/>
        </w:tabs>
        <w:ind w:firstLine="567"/>
        <w:jc w:val="both"/>
        <w:rPr>
          <w:rFonts w:ascii="Verdana" w:hAnsi="Verdana" w:cs="Arial"/>
          <w:b/>
          <w:sz w:val="20"/>
          <w:szCs w:val="20"/>
        </w:rPr>
      </w:pPr>
      <w:r w:rsidRPr="006D1338">
        <w:rPr>
          <w:rFonts w:ascii="Verdana" w:hAnsi="Verdana" w:cs="Arial"/>
          <w:b/>
          <w:sz w:val="20"/>
          <w:szCs w:val="20"/>
        </w:rPr>
        <w:t>IL CASO</w:t>
      </w:r>
    </w:p>
    <w:p w14:paraId="75AA945A" w14:textId="61350321" w:rsidR="008F32D3" w:rsidRPr="008F32D3" w:rsidRDefault="008F32D3" w:rsidP="00404AA3">
      <w:pPr>
        <w:tabs>
          <w:tab w:val="left" w:pos="567"/>
        </w:tabs>
        <w:ind w:firstLine="567"/>
        <w:jc w:val="both"/>
        <w:rPr>
          <w:rFonts w:ascii="Verdana" w:hAnsi="Verdana"/>
          <w:sz w:val="20"/>
          <w:szCs w:val="20"/>
        </w:rPr>
      </w:pPr>
      <w:r>
        <w:rPr>
          <w:rFonts w:ascii="Verdana" w:hAnsi="Verdana" w:cs="Arial"/>
          <w:sz w:val="20"/>
          <w:szCs w:val="20"/>
        </w:rPr>
        <w:t xml:space="preserve">Nella fase finale di un’espropriazione immobiliare i comproprietari, terzi datori di ipoteca, </w:t>
      </w:r>
      <w:r>
        <w:rPr>
          <w:rFonts w:ascii="Verdana" w:hAnsi="Verdana"/>
          <w:sz w:val="20"/>
          <w:szCs w:val="20"/>
        </w:rPr>
        <w:t>proponevano</w:t>
      </w:r>
      <w:r w:rsidRPr="008F32D3">
        <w:rPr>
          <w:rFonts w:ascii="Verdana" w:hAnsi="Verdana"/>
          <w:sz w:val="20"/>
          <w:szCs w:val="20"/>
        </w:rPr>
        <w:t xml:space="preserve"> opposizione </w:t>
      </w:r>
      <w:r w:rsidRPr="000E35D6">
        <w:rPr>
          <w:rFonts w:ascii="Verdana" w:hAnsi="Verdana"/>
          <w:i/>
          <w:sz w:val="20"/>
          <w:szCs w:val="20"/>
        </w:rPr>
        <w:t>ex</w:t>
      </w:r>
      <w:r w:rsidRPr="008F32D3">
        <w:rPr>
          <w:rFonts w:ascii="Verdana" w:hAnsi="Verdana"/>
          <w:sz w:val="20"/>
          <w:szCs w:val="20"/>
        </w:rPr>
        <w:t xml:space="preserve"> art. 617 c.p.c., avverso </w:t>
      </w:r>
      <w:r w:rsidR="000E35D6">
        <w:rPr>
          <w:rFonts w:ascii="Verdana" w:hAnsi="Verdana"/>
          <w:sz w:val="20"/>
          <w:szCs w:val="20"/>
        </w:rPr>
        <w:t xml:space="preserve">l’ordine </w:t>
      </w:r>
      <w:r>
        <w:rPr>
          <w:rFonts w:ascii="Verdana" w:hAnsi="Verdana"/>
          <w:sz w:val="20"/>
          <w:szCs w:val="20"/>
        </w:rPr>
        <w:t xml:space="preserve">del giudice </w:t>
      </w:r>
      <w:r w:rsidR="00404AA3">
        <w:rPr>
          <w:rFonts w:ascii="Verdana" w:hAnsi="Verdana"/>
          <w:sz w:val="20"/>
          <w:szCs w:val="20"/>
        </w:rPr>
        <w:t>di cancellar</w:t>
      </w:r>
      <w:r w:rsidR="000E35D6">
        <w:rPr>
          <w:rFonts w:ascii="Verdana" w:hAnsi="Verdana"/>
          <w:sz w:val="20"/>
          <w:szCs w:val="20"/>
        </w:rPr>
        <w:t>e i vincoli pregiudizievoli (nel caso di specie pignoramento ed ipoteca)</w:t>
      </w:r>
      <w:r>
        <w:rPr>
          <w:rFonts w:ascii="Verdana" w:hAnsi="Verdana"/>
          <w:sz w:val="20"/>
          <w:szCs w:val="20"/>
        </w:rPr>
        <w:t>.</w:t>
      </w:r>
    </w:p>
    <w:p w14:paraId="1D326E4B" w14:textId="52D456F1" w:rsidR="008F32D3" w:rsidRPr="00404AA3" w:rsidRDefault="009B340A" w:rsidP="00404AA3">
      <w:pPr>
        <w:tabs>
          <w:tab w:val="left" w:pos="567"/>
        </w:tabs>
        <w:ind w:firstLine="567"/>
        <w:jc w:val="both"/>
        <w:rPr>
          <w:rFonts w:ascii="Verdana" w:hAnsi="Verdana"/>
          <w:sz w:val="20"/>
          <w:szCs w:val="20"/>
        </w:rPr>
      </w:pPr>
      <w:r>
        <w:rPr>
          <w:rFonts w:ascii="Verdana" w:hAnsi="Verdana"/>
          <w:sz w:val="20"/>
          <w:szCs w:val="20"/>
        </w:rPr>
        <w:t xml:space="preserve">Per </w:t>
      </w:r>
      <w:r w:rsidR="008F32D3">
        <w:rPr>
          <w:rFonts w:ascii="Verdana" w:hAnsi="Verdana"/>
          <w:sz w:val="20"/>
          <w:szCs w:val="20"/>
        </w:rPr>
        <w:t>gli</w:t>
      </w:r>
      <w:r w:rsidR="008F32D3" w:rsidRPr="008F32D3">
        <w:rPr>
          <w:rFonts w:ascii="Verdana" w:hAnsi="Verdana"/>
          <w:sz w:val="20"/>
          <w:szCs w:val="20"/>
        </w:rPr>
        <w:t xml:space="preserve"> </w:t>
      </w:r>
      <w:r w:rsidR="00304DDA">
        <w:rPr>
          <w:rFonts w:ascii="Verdana" w:hAnsi="Verdana"/>
          <w:sz w:val="20"/>
          <w:szCs w:val="20"/>
        </w:rPr>
        <w:t xml:space="preserve">opponenti </w:t>
      </w:r>
      <w:r w:rsidR="008F32D3" w:rsidRPr="008F32D3">
        <w:rPr>
          <w:rFonts w:ascii="Verdana" w:hAnsi="Verdana"/>
          <w:sz w:val="20"/>
          <w:szCs w:val="20"/>
        </w:rPr>
        <w:t xml:space="preserve">il provvedimento </w:t>
      </w:r>
      <w:r w:rsidR="00304DDA">
        <w:rPr>
          <w:rFonts w:ascii="Verdana" w:hAnsi="Verdana"/>
          <w:sz w:val="20"/>
          <w:szCs w:val="20"/>
        </w:rPr>
        <w:t xml:space="preserve">sarebbe stato </w:t>
      </w:r>
      <w:r w:rsidR="008F32D3">
        <w:rPr>
          <w:rFonts w:ascii="Verdana" w:hAnsi="Verdana"/>
          <w:sz w:val="20"/>
          <w:szCs w:val="20"/>
        </w:rPr>
        <w:t>illegittimo</w:t>
      </w:r>
      <w:r w:rsidR="008F32D3" w:rsidRPr="008F32D3">
        <w:rPr>
          <w:rFonts w:ascii="Verdana" w:hAnsi="Verdana"/>
          <w:sz w:val="20"/>
          <w:szCs w:val="20"/>
        </w:rPr>
        <w:t xml:space="preserve">, in quanto avverso il </w:t>
      </w:r>
      <w:r w:rsidR="008F32D3">
        <w:rPr>
          <w:rFonts w:ascii="Verdana" w:hAnsi="Verdana"/>
          <w:sz w:val="20"/>
          <w:szCs w:val="20"/>
        </w:rPr>
        <w:t>decreto di trasferimento</w:t>
      </w:r>
      <w:r w:rsidR="008F32D3" w:rsidRPr="008F32D3">
        <w:rPr>
          <w:rFonts w:ascii="Verdana" w:hAnsi="Verdana"/>
          <w:sz w:val="20"/>
          <w:szCs w:val="20"/>
        </w:rPr>
        <w:t xml:space="preserve"> avevano </w:t>
      </w:r>
      <w:r w:rsidR="008F32D3">
        <w:rPr>
          <w:rFonts w:ascii="Verdana" w:hAnsi="Verdana"/>
          <w:sz w:val="20"/>
          <w:szCs w:val="20"/>
        </w:rPr>
        <w:t>già</w:t>
      </w:r>
      <w:r w:rsidR="008F32D3" w:rsidRPr="008F32D3">
        <w:rPr>
          <w:rFonts w:ascii="Verdana" w:hAnsi="Verdana"/>
          <w:sz w:val="20"/>
          <w:szCs w:val="20"/>
        </w:rPr>
        <w:t xml:space="preserve"> proposto opposizione </w:t>
      </w:r>
      <w:r w:rsidR="008F32D3" w:rsidRPr="00D96030">
        <w:rPr>
          <w:rFonts w:ascii="Verdana" w:hAnsi="Verdana"/>
          <w:i/>
          <w:sz w:val="20"/>
          <w:szCs w:val="20"/>
        </w:rPr>
        <w:t>ex</w:t>
      </w:r>
      <w:r w:rsidR="008F32D3" w:rsidRPr="008F32D3">
        <w:rPr>
          <w:rFonts w:ascii="Verdana" w:hAnsi="Verdana"/>
          <w:sz w:val="20"/>
          <w:szCs w:val="20"/>
        </w:rPr>
        <w:t xml:space="preserve"> art. 617 c.p.c., </w:t>
      </w:r>
      <w:r>
        <w:rPr>
          <w:rFonts w:ascii="Verdana" w:hAnsi="Verdana"/>
          <w:sz w:val="20"/>
          <w:szCs w:val="20"/>
        </w:rPr>
        <w:t>indipendentemente dal rilievo che il</w:t>
      </w:r>
      <w:r w:rsidR="008F32D3">
        <w:rPr>
          <w:rFonts w:ascii="Verdana" w:hAnsi="Verdana"/>
          <w:sz w:val="20"/>
          <w:szCs w:val="20"/>
        </w:rPr>
        <w:t xml:space="preserve"> giudice </w:t>
      </w:r>
      <w:r w:rsidR="008F32D3" w:rsidRPr="00404AA3">
        <w:rPr>
          <w:rFonts w:ascii="Verdana" w:hAnsi="Verdana"/>
          <w:sz w:val="20"/>
          <w:szCs w:val="20"/>
        </w:rPr>
        <w:t xml:space="preserve">dell’esecuzione avesse </w:t>
      </w:r>
      <w:r>
        <w:rPr>
          <w:rFonts w:ascii="Verdana" w:hAnsi="Verdana"/>
          <w:sz w:val="20"/>
          <w:szCs w:val="20"/>
        </w:rPr>
        <w:t xml:space="preserve">già </w:t>
      </w:r>
      <w:r w:rsidR="008F32D3" w:rsidRPr="00404AA3">
        <w:rPr>
          <w:rFonts w:ascii="Verdana" w:hAnsi="Verdana"/>
          <w:sz w:val="20"/>
          <w:szCs w:val="20"/>
        </w:rPr>
        <w:t>re</w:t>
      </w:r>
      <w:r>
        <w:rPr>
          <w:rFonts w:ascii="Verdana" w:hAnsi="Verdana"/>
          <w:sz w:val="20"/>
          <w:szCs w:val="20"/>
        </w:rPr>
        <w:t xml:space="preserve">spinto l’istanza di sospensiva </w:t>
      </w:r>
      <w:r w:rsidR="008F32D3" w:rsidRPr="00404AA3">
        <w:rPr>
          <w:rFonts w:ascii="Verdana" w:hAnsi="Verdana"/>
          <w:sz w:val="20"/>
          <w:szCs w:val="20"/>
        </w:rPr>
        <w:t>ed assegnato termine di giorni 60 per il giudizio di merito.</w:t>
      </w:r>
      <w:r w:rsidR="00304DDA" w:rsidRPr="00404AA3">
        <w:rPr>
          <w:rFonts w:ascii="Verdana" w:hAnsi="Verdana"/>
          <w:sz w:val="20"/>
          <w:szCs w:val="20"/>
        </w:rPr>
        <w:t xml:space="preserve"> </w:t>
      </w:r>
      <w:r w:rsidR="008F32D3" w:rsidRPr="00404AA3">
        <w:rPr>
          <w:rFonts w:ascii="Verdana" w:hAnsi="Verdana"/>
          <w:sz w:val="20"/>
          <w:szCs w:val="20"/>
        </w:rPr>
        <w:t xml:space="preserve">Ed infatti in pendenza del termine per introdurre il giudizio di merito, </w:t>
      </w:r>
      <w:r w:rsidR="00D96030" w:rsidRPr="00404AA3">
        <w:rPr>
          <w:rFonts w:ascii="Verdana" w:hAnsi="Verdana"/>
          <w:sz w:val="20"/>
          <w:szCs w:val="20"/>
        </w:rPr>
        <w:t>il decreto, ad avviso degli opponenti</w:t>
      </w:r>
      <w:r w:rsidR="00304DDA" w:rsidRPr="00404AA3">
        <w:rPr>
          <w:rFonts w:ascii="Verdana" w:hAnsi="Verdana"/>
          <w:sz w:val="20"/>
          <w:szCs w:val="20"/>
        </w:rPr>
        <w:t>,</w:t>
      </w:r>
      <w:r w:rsidR="00D96030" w:rsidRPr="00404AA3">
        <w:rPr>
          <w:rFonts w:ascii="Verdana" w:hAnsi="Verdana"/>
          <w:sz w:val="20"/>
          <w:szCs w:val="20"/>
        </w:rPr>
        <w:t xml:space="preserve"> non avrebbe acquisito il carattere della</w:t>
      </w:r>
      <w:r w:rsidR="008F32D3" w:rsidRPr="00404AA3">
        <w:rPr>
          <w:rFonts w:ascii="Verdana" w:hAnsi="Verdana"/>
          <w:sz w:val="20"/>
          <w:szCs w:val="20"/>
        </w:rPr>
        <w:t xml:space="preserve"> definitiv</w:t>
      </w:r>
      <w:r w:rsidR="00D96030" w:rsidRPr="00404AA3">
        <w:rPr>
          <w:rFonts w:ascii="Verdana" w:hAnsi="Verdana"/>
          <w:sz w:val="20"/>
          <w:szCs w:val="20"/>
        </w:rPr>
        <w:t>ità</w:t>
      </w:r>
      <w:r>
        <w:rPr>
          <w:rFonts w:ascii="Verdana" w:hAnsi="Verdana"/>
          <w:sz w:val="20"/>
          <w:szCs w:val="20"/>
        </w:rPr>
        <w:t>. Ciò in quanto</w:t>
      </w:r>
      <w:r w:rsidR="00404AA3" w:rsidRPr="00404AA3">
        <w:rPr>
          <w:rFonts w:ascii="Verdana" w:hAnsi="Verdana"/>
          <w:sz w:val="20"/>
          <w:szCs w:val="20"/>
        </w:rPr>
        <w:t xml:space="preserve"> </w:t>
      </w:r>
      <w:r>
        <w:rPr>
          <w:rFonts w:ascii="Verdana" w:hAnsi="Verdana"/>
          <w:sz w:val="20"/>
          <w:szCs w:val="20"/>
        </w:rPr>
        <w:t>stando al</w:t>
      </w:r>
      <w:r w:rsidR="00404AA3" w:rsidRPr="00404AA3">
        <w:rPr>
          <w:rFonts w:ascii="Verdana" w:hAnsi="Verdana"/>
          <w:sz w:val="20"/>
          <w:szCs w:val="20"/>
        </w:rPr>
        <w:t>l’art. 2884 c.c., l</w:t>
      </w:r>
      <w:r w:rsidR="00404AA3" w:rsidRPr="00404AA3">
        <w:rPr>
          <w:rFonts w:ascii="Verdana" w:hAnsi="Verdana"/>
          <w:color w:val="333333"/>
          <w:sz w:val="20"/>
          <w:szCs w:val="20"/>
          <w:shd w:val="clear" w:color="auto" w:fill="FFFFFF"/>
        </w:rPr>
        <w:t>a cancellazione dell’ipoteca va eseguita dal conservatore, se ordinata con sentenza passata in giudicato o con altro provvedimento definitivo emesso dalle autorità competenti.</w:t>
      </w:r>
    </w:p>
    <w:p w14:paraId="32BDE29A" w14:textId="2706DE34" w:rsidR="00D96030" w:rsidRPr="00404AA3" w:rsidRDefault="009B340A" w:rsidP="00404AA3">
      <w:pPr>
        <w:tabs>
          <w:tab w:val="left" w:pos="567"/>
          <w:tab w:val="left" w:pos="7380"/>
        </w:tabs>
        <w:ind w:firstLine="567"/>
        <w:jc w:val="both"/>
        <w:rPr>
          <w:rFonts w:ascii="Verdana" w:hAnsi="Verdana" w:cs="Arial"/>
          <w:sz w:val="20"/>
          <w:szCs w:val="20"/>
        </w:rPr>
      </w:pPr>
      <w:r>
        <w:rPr>
          <w:rFonts w:ascii="Verdana" w:hAnsi="Verdana" w:cs="Arial"/>
          <w:sz w:val="20"/>
          <w:szCs w:val="20"/>
        </w:rPr>
        <w:t>Di fronte a</w:t>
      </w:r>
      <w:r w:rsidR="00D96030" w:rsidRPr="00404AA3">
        <w:rPr>
          <w:rFonts w:ascii="Verdana" w:hAnsi="Verdana" w:cs="Arial"/>
          <w:sz w:val="20"/>
          <w:szCs w:val="20"/>
        </w:rPr>
        <w:t xml:space="preserve">l rifiuto </w:t>
      </w:r>
      <w:r>
        <w:rPr>
          <w:rFonts w:ascii="Verdana" w:hAnsi="Verdana" w:cs="Arial"/>
          <w:sz w:val="20"/>
          <w:szCs w:val="20"/>
        </w:rPr>
        <w:t>del c</w:t>
      </w:r>
      <w:r w:rsidR="00D96030" w:rsidRPr="00404AA3">
        <w:rPr>
          <w:rFonts w:ascii="Verdana" w:hAnsi="Verdana" w:cs="Arial"/>
          <w:sz w:val="20"/>
          <w:szCs w:val="20"/>
        </w:rPr>
        <w:t>onservator</w:t>
      </w:r>
      <w:r>
        <w:rPr>
          <w:rFonts w:ascii="Verdana" w:hAnsi="Verdana" w:cs="Arial"/>
          <w:sz w:val="20"/>
          <w:szCs w:val="20"/>
        </w:rPr>
        <w:t>e</w:t>
      </w:r>
      <w:r w:rsidR="00D96030" w:rsidRPr="00404AA3">
        <w:rPr>
          <w:rFonts w:ascii="Verdana" w:hAnsi="Verdana" w:cs="Arial"/>
          <w:sz w:val="20"/>
          <w:szCs w:val="20"/>
        </w:rPr>
        <w:t xml:space="preserve"> </w:t>
      </w:r>
      <w:r w:rsidR="000C3A25">
        <w:rPr>
          <w:rFonts w:ascii="Verdana" w:hAnsi="Verdana" w:cs="Arial"/>
          <w:sz w:val="20"/>
          <w:szCs w:val="20"/>
        </w:rPr>
        <w:t>di purgare il bene dai vincoli pregiudizievoli</w:t>
      </w:r>
      <w:r w:rsidR="00D96030" w:rsidRPr="00404AA3">
        <w:rPr>
          <w:rFonts w:ascii="Verdana" w:hAnsi="Verdana" w:cs="Arial"/>
          <w:sz w:val="20"/>
          <w:szCs w:val="20"/>
        </w:rPr>
        <w:t>, il professionista</w:t>
      </w:r>
      <w:r w:rsidR="00304DDA" w:rsidRPr="00404AA3">
        <w:rPr>
          <w:rFonts w:ascii="Verdana" w:hAnsi="Verdana" w:cs="Arial"/>
          <w:sz w:val="20"/>
          <w:szCs w:val="20"/>
        </w:rPr>
        <w:t xml:space="preserve"> delegato proponeva reclamo al t</w:t>
      </w:r>
      <w:r w:rsidR="00D96030" w:rsidRPr="00404AA3">
        <w:rPr>
          <w:rFonts w:ascii="Verdana" w:hAnsi="Verdana" w:cs="Arial"/>
          <w:sz w:val="20"/>
          <w:szCs w:val="20"/>
        </w:rPr>
        <w:t xml:space="preserve">ribunale </w:t>
      </w:r>
      <w:r w:rsidR="00D96030" w:rsidRPr="00404AA3">
        <w:rPr>
          <w:rFonts w:ascii="Verdana" w:hAnsi="Verdana" w:cs="Arial"/>
          <w:i/>
          <w:sz w:val="20"/>
          <w:szCs w:val="20"/>
        </w:rPr>
        <w:t xml:space="preserve">ex </w:t>
      </w:r>
      <w:r w:rsidR="00404AA3">
        <w:rPr>
          <w:rFonts w:ascii="Verdana" w:hAnsi="Verdana" w:cs="Arial"/>
          <w:sz w:val="20"/>
          <w:szCs w:val="20"/>
        </w:rPr>
        <w:t>art. 2888 c.c.,</w:t>
      </w:r>
      <w:r w:rsidR="00D96030" w:rsidRPr="00404AA3">
        <w:rPr>
          <w:rFonts w:ascii="Verdana" w:hAnsi="Verdana" w:cs="Arial"/>
          <w:sz w:val="20"/>
          <w:szCs w:val="20"/>
        </w:rPr>
        <w:t xml:space="preserve"> 113 disp. att. c.c.</w:t>
      </w:r>
      <w:r w:rsidR="00404AA3">
        <w:rPr>
          <w:rFonts w:ascii="Verdana" w:hAnsi="Verdana" w:cs="Arial"/>
          <w:sz w:val="20"/>
          <w:szCs w:val="20"/>
        </w:rPr>
        <w:t xml:space="preserve"> e 739 c.p.c.</w:t>
      </w:r>
    </w:p>
    <w:p w14:paraId="702B8923" w14:textId="77777777" w:rsidR="00703E69" w:rsidRDefault="00703E69" w:rsidP="00404AA3">
      <w:pPr>
        <w:tabs>
          <w:tab w:val="left" w:pos="567"/>
          <w:tab w:val="left" w:pos="7380"/>
        </w:tabs>
        <w:ind w:firstLine="567"/>
        <w:jc w:val="both"/>
        <w:rPr>
          <w:rFonts w:ascii="Verdana" w:hAnsi="Verdana" w:cs="Arial"/>
          <w:sz w:val="20"/>
          <w:szCs w:val="20"/>
        </w:rPr>
      </w:pPr>
    </w:p>
    <w:p w14:paraId="51390A10" w14:textId="77777777" w:rsidR="00703E69" w:rsidRPr="006D1338" w:rsidRDefault="00703E69" w:rsidP="00404AA3">
      <w:pPr>
        <w:tabs>
          <w:tab w:val="left" w:pos="567"/>
          <w:tab w:val="left" w:pos="7380"/>
        </w:tabs>
        <w:ind w:firstLine="567"/>
        <w:jc w:val="both"/>
        <w:rPr>
          <w:rFonts w:ascii="Verdana" w:hAnsi="Verdana" w:cs="Arial"/>
          <w:b/>
          <w:sz w:val="20"/>
          <w:szCs w:val="20"/>
        </w:rPr>
      </w:pPr>
      <w:r w:rsidRPr="006D1338">
        <w:rPr>
          <w:rFonts w:ascii="Verdana" w:hAnsi="Verdana" w:cs="Arial"/>
          <w:b/>
          <w:sz w:val="20"/>
          <w:szCs w:val="20"/>
        </w:rPr>
        <w:t>LA QUESTIONE</w:t>
      </w:r>
    </w:p>
    <w:p w14:paraId="1443D584" w14:textId="5E732171" w:rsidR="00703E69" w:rsidRPr="006D1338" w:rsidRDefault="00404AA3" w:rsidP="00404AA3">
      <w:pPr>
        <w:tabs>
          <w:tab w:val="left" w:pos="567"/>
          <w:tab w:val="left" w:pos="7380"/>
        </w:tabs>
        <w:ind w:firstLine="567"/>
        <w:jc w:val="both"/>
        <w:rPr>
          <w:rFonts w:ascii="Verdana" w:hAnsi="Verdana" w:cs="Arial"/>
          <w:sz w:val="20"/>
          <w:szCs w:val="20"/>
        </w:rPr>
      </w:pPr>
      <w:r>
        <w:rPr>
          <w:rFonts w:ascii="Verdana" w:hAnsi="Verdana" w:cs="Arial"/>
          <w:sz w:val="20"/>
          <w:szCs w:val="20"/>
        </w:rPr>
        <w:t>Sulla questione si è pronunciato il</w:t>
      </w:r>
      <w:r w:rsidR="00703E69">
        <w:rPr>
          <w:rFonts w:ascii="Verdana" w:hAnsi="Verdana" w:cs="Arial"/>
          <w:sz w:val="20"/>
          <w:szCs w:val="20"/>
        </w:rPr>
        <w:t xml:space="preserve"> </w:t>
      </w:r>
      <w:r w:rsidR="00186994">
        <w:rPr>
          <w:rFonts w:ascii="Verdana" w:hAnsi="Verdana" w:cs="Arial"/>
          <w:sz w:val="20"/>
          <w:szCs w:val="20"/>
        </w:rPr>
        <w:t>Tribunale di Lucca</w:t>
      </w:r>
      <w:r>
        <w:rPr>
          <w:rFonts w:ascii="Verdana" w:hAnsi="Verdana" w:cs="Arial"/>
          <w:sz w:val="20"/>
          <w:szCs w:val="20"/>
        </w:rPr>
        <w:t xml:space="preserve"> che</w:t>
      </w:r>
      <w:r w:rsidR="005F0CC1">
        <w:rPr>
          <w:rFonts w:ascii="Verdana" w:hAnsi="Verdana" w:cs="Arial"/>
          <w:sz w:val="20"/>
          <w:szCs w:val="20"/>
        </w:rPr>
        <w:t xml:space="preserve"> ha prima</w:t>
      </w:r>
      <w:r>
        <w:rPr>
          <w:rFonts w:ascii="Verdana" w:hAnsi="Verdana" w:cs="Arial"/>
          <w:sz w:val="20"/>
          <w:szCs w:val="20"/>
        </w:rPr>
        <w:t xml:space="preserve"> esclu</w:t>
      </w:r>
      <w:r w:rsidR="005F0CC1">
        <w:rPr>
          <w:rFonts w:ascii="Verdana" w:hAnsi="Verdana" w:cs="Arial"/>
          <w:sz w:val="20"/>
          <w:szCs w:val="20"/>
        </w:rPr>
        <w:t xml:space="preserve">so in </w:t>
      </w:r>
      <w:r>
        <w:rPr>
          <w:rFonts w:ascii="Verdana" w:hAnsi="Verdana" w:cs="Arial"/>
          <w:sz w:val="20"/>
          <w:szCs w:val="20"/>
        </w:rPr>
        <w:t>capo al c</w:t>
      </w:r>
      <w:r w:rsidR="00186994">
        <w:rPr>
          <w:rFonts w:ascii="Verdana" w:hAnsi="Verdana" w:cs="Arial"/>
          <w:sz w:val="20"/>
          <w:szCs w:val="20"/>
        </w:rPr>
        <w:t>onservatore il potere di sindacare i motivi di opposizione ed i riflessi sulla stabilità de</w:t>
      </w:r>
      <w:r w:rsidR="005F0CC1">
        <w:rPr>
          <w:rFonts w:ascii="Verdana" w:hAnsi="Verdana" w:cs="Arial"/>
          <w:sz w:val="20"/>
          <w:szCs w:val="20"/>
        </w:rPr>
        <w:t xml:space="preserve">ll’atto del processo esecutivo e, poi, </w:t>
      </w:r>
      <w:r w:rsidR="00186994">
        <w:rPr>
          <w:rFonts w:ascii="Verdana" w:hAnsi="Verdana" w:cs="Arial"/>
          <w:sz w:val="20"/>
          <w:szCs w:val="20"/>
        </w:rPr>
        <w:t>ritenuto</w:t>
      </w:r>
      <w:r w:rsidR="00B412BD">
        <w:rPr>
          <w:rFonts w:ascii="Verdana" w:hAnsi="Verdana" w:cs="Arial"/>
          <w:sz w:val="20"/>
          <w:szCs w:val="20"/>
        </w:rPr>
        <w:t>:</w:t>
      </w:r>
      <w:r w:rsidR="00186994">
        <w:rPr>
          <w:rFonts w:ascii="Verdana" w:hAnsi="Verdana" w:cs="Arial"/>
          <w:sz w:val="20"/>
          <w:szCs w:val="20"/>
        </w:rPr>
        <w:t xml:space="preserve"> </w:t>
      </w:r>
      <w:r w:rsidR="00703E69" w:rsidRPr="006D1338">
        <w:rPr>
          <w:rFonts w:ascii="Verdana" w:hAnsi="Verdana" w:cs="Arial"/>
          <w:sz w:val="20"/>
          <w:szCs w:val="20"/>
        </w:rPr>
        <w:t>“</w:t>
      </w:r>
      <w:r w:rsidR="00703E69" w:rsidRPr="006D1338">
        <w:rPr>
          <w:rFonts w:ascii="Verdana" w:hAnsi="Verdana" w:cs="Arial"/>
          <w:i/>
          <w:sz w:val="20"/>
          <w:szCs w:val="20"/>
        </w:rPr>
        <w:t>le</w:t>
      </w:r>
      <w:r w:rsidR="00186994">
        <w:rPr>
          <w:rFonts w:ascii="Verdana" w:hAnsi="Verdana" w:cs="Arial"/>
          <w:i/>
          <w:sz w:val="20"/>
          <w:szCs w:val="20"/>
        </w:rPr>
        <w:t xml:space="preserve">gittimo il rifiuto di procedere alla cancellazione di un’iscrizione ipotecaria o della trascrizione del pignoramento </w:t>
      </w:r>
      <w:r w:rsidR="00C435C1">
        <w:rPr>
          <w:rFonts w:ascii="Verdana" w:hAnsi="Verdana" w:cs="Arial"/>
          <w:i/>
          <w:sz w:val="20"/>
          <w:szCs w:val="20"/>
        </w:rPr>
        <w:t>ordinata con decreto di trasferimento per il quale non consti l’inutile decorso del termine di venti giorni dalla conoscenza legale dell’atto; ovvero avverso il quale sia stata proposta opposizione agli atti esecutivi non definita con sentenza passata in giudicato, costituendo dette condizioni il presupposto per annettere al decreto la qualifica di provvedimento definitivo richiesta dall’art. 2884 c.c. per l’esecuzione dell’ordine di cancellazione</w:t>
      </w:r>
      <w:r w:rsidR="00703E69" w:rsidRPr="006D1338">
        <w:rPr>
          <w:rFonts w:ascii="Verdana" w:hAnsi="Verdana" w:cs="Arial"/>
          <w:i/>
          <w:sz w:val="20"/>
          <w:szCs w:val="20"/>
        </w:rPr>
        <w:t>”.</w:t>
      </w:r>
    </w:p>
    <w:p w14:paraId="0962EA4B" w14:textId="2BFF9044" w:rsidR="00703E69" w:rsidRPr="006D1338" w:rsidRDefault="003F03CF" w:rsidP="00404AA3">
      <w:pPr>
        <w:tabs>
          <w:tab w:val="left" w:pos="567"/>
          <w:tab w:val="left" w:pos="7380"/>
        </w:tabs>
        <w:ind w:firstLine="567"/>
        <w:jc w:val="both"/>
        <w:rPr>
          <w:rFonts w:ascii="Verdana" w:hAnsi="Verdana" w:cs="Arial"/>
          <w:sz w:val="20"/>
          <w:szCs w:val="20"/>
        </w:rPr>
      </w:pPr>
      <w:r>
        <w:rPr>
          <w:rFonts w:ascii="Verdana" w:hAnsi="Verdana"/>
          <w:sz w:val="20"/>
          <w:szCs w:val="20"/>
        </w:rPr>
        <w:t>L</w:t>
      </w:r>
      <w:r w:rsidRPr="00444FB3">
        <w:rPr>
          <w:rFonts w:ascii="Verdana" w:hAnsi="Verdana"/>
          <w:sz w:val="20"/>
          <w:szCs w:val="20"/>
        </w:rPr>
        <w:t xml:space="preserve">’innovativa </w:t>
      </w:r>
      <w:r w:rsidR="00B412BD">
        <w:rPr>
          <w:rFonts w:ascii="Verdana" w:hAnsi="Verdana"/>
          <w:sz w:val="20"/>
          <w:szCs w:val="20"/>
        </w:rPr>
        <w:t>pronuncia</w:t>
      </w:r>
      <w:r w:rsidRPr="00444FB3">
        <w:rPr>
          <w:rFonts w:ascii="Verdana" w:hAnsi="Verdana"/>
          <w:sz w:val="20"/>
          <w:szCs w:val="20"/>
        </w:rPr>
        <w:t xml:space="preserve"> del </w:t>
      </w:r>
      <w:r w:rsidR="00404AA3">
        <w:rPr>
          <w:rFonts w:ascii="Verdana" w:hAnsi="Verdana"/>
          <w:sz w:val="20"/>
          <w:szCs w:val="20"/>
        </w:rPr>
        <w:t>Collegio</w:t>
      </w:r>
      <w:r w:rsidRPr="00444FB3">
        <w:rPr>
          <w:rFonts w:ascii="Verdana" w:hAnsi="Verdana"/>
          <w:sz w:val="20"/>
          <w:szCs w:val="20"/>
        </w:rPr>
        <w:t xml:space="preserve"> è</w:t>
      </w:r>
      <w:r w:rsidR="00B412BD">
        <w:rPr>
          <w:rFonts w:ascii="Verdana" w:hAnsi="Verdana"/>
          <w:sz w:val="20"/>
          <w:szCs w:val="20"/>
        </w:rPr>
        <w:t>, a ben guardare,</w:t>
      </w:r>
      <w:r w:rsidRPr="00444FB3">
        <w:rPr>
          <w:rFonts w:ascii="Verdana" w:hAnsi="Verdana"/>
          <w:sz w:val="20"/>
          <w:szCs w:val="20"/>
        </w:rPr>
        <w:t xml:space="preserve"> volta a scongiurare il rischio che, cancellato il pignoramento e le iscrizioni ipotecarie, il decreto di trasferimento venga caducato per effetto di nullità inerenti alla fase della vendita e perciò opponibili all'aggiudicatario </w:t>
      </w:r>
      <w:r w:rsidRPr="00444FB3">
        <w:rPr>
          <w:rFonts w:ascii="Verdana" w:hAnsi="Verdana"/>
          <w:i/>
          <w:sz w:val="20"/>
          <w:szCs w:val="20"/>
        </w:rPr>
        <w:t>ex</w:t>
      </w:r>
      <w:r w:rsidRPr="00444FB3">
        <w:rPr>
          <w:rFonts w:ascii="Verdana" w:hAnsi="Verdana"/>
          <w:sz w:val="20"/>
          <w:szCs w:val="20"/>
        </w:rPr>
        <w:t xml:space="preserve"> art. 2929 c</w:t>
      </w:r>
      <w:r w:rsidR="00B412BD">
        <w:rPr>
          <w:rFonts w:ascii="Verdana" w:hAnsi="Verdana"/>
          <w:sz w:val="20"/>
          <w:szCs w:val="20"/>
        </w:rPr>
        <w:t>.c. Con la conseguenza che d</w:t>
      </w:r>
      <w:r w:rsidRPr="00444FB3">
        <w:rPr>
          <w:rFonts w:ascii="Verdana" w:hAnsi="Verdana"/>
          <w:sz w:val="20"/>
          <w:szCs w:val="20"/>
        </w:rPr>
        <w:t>ichiarata la nullità dell'aggiudicazione e</w:t>
      </w:r>
      <w:r>
        <w:rPr>
          <w:rFonts w:ascii="Verdana" w:hAnsi="Verdana"/>
          <w:sz w:val="20"/>
          <w:szCs w:val="20"/>
        </w:rPr>
        <w:t>/o del decreto di trasferimento,</w:t>
      </w:r>
      <w:r w:rsidRPr="00444FB3">
        <w:rPr>
          <w:rFonts w:ascii="Verdana" w:hAnsi="Verdana"/>
          <w:sz w:val="20"/>
          <w:szCs w:val="20"/>
        </w:rPr>
        <w:t xml:space="preserve"> il </w:t>
      </w:r>
      <w:r w:rsidRPr="00102D4B">
        <w:rPr>
          <w:rFonts w:ascii="Verdana" w:hAnsi="Verdana"/>
          <w:sz w:val="20"/>
          <w:szCs w:val="20"/>
        </w:rPr>
        <w:t xml:space="preserve">giudice dovrebbe indire un nuovo tentativo di vendita di un bene ormai libero dal vincolo del pignoramento e dalle ipoteche. Del resto, anche se il giudice dell’esecuzione ordinasse una nuova trascrizione del pignoramento, rimarrebbe il rischio per i creditori di </w:t>
      </w:r>
      <w:r w:rsidRPr="00102D4B">
        <w:rPr>
          <w:rFonts w:ascii="Verdana" w:hAnsi="Verdana"/>
          <w:sz w:val="20"/>
          <w:szCs w:val="20"/>
        </w:rPr>
        <w:lastRenderedPageBreak/>
        <w:t xml:space="preserve">essere pregiudicati da atti dispositivi compiuti dal debitore nel lasso di tempo tra la </w:t>
      </w:r>
      <w:r w:rsidR="005F0CC1">
        <w:rPr>
          <w:rFonts w:ascii="Verdana" w:hAnsi="Verdana"/>
          <w:sz w:val="20"/>
          <w:szCs w:val="20"/>
        </w:rPr>
        <w:t>annota</w:t>
      </w:r>
      <w:r w:rsidRPr="00102D4B">
        <w:rPr>
          <w:rFonts w:ascii="Verdana" w:hAnsi="Verdana"/>
          <w:sz w:val="20"/>
          <w:szCs w:val="20"/>
        </w:rPr>
        <w:t xml:space="preserve">zione cancellata e </w:t>
      </w:r>
      <w:r w:rsidR="005F0CC1">
        <w:rPr>
          <w:rFonts w:ascii="Verdana" w:hAnsi="Verdana"/>
          <w:sz w:val="20"/>
          <w:szCs w:val="20"/>
        </w:rPr>
        <w:t>quel</w:t>
      </w:r>
      <w:r w:rsidRPr="00102D4B">
        <w:rPr>
          <w:rFonts w:ascii="Verdana" w:hAnsi="Verdana"/>
          <w:sz w:val="20"/>
          <w:szCs w:val="20"/>
        </w:rPr>
        <w:t>la nuova.</w:t>
      </w:r>
    </w:p>
    <w:p w14:paraId="7D35412A" w14:textId="77777777" w:rsidR="003F03CF" w:rsidRDefault="003F03CF" w:rsidP="00404AA3">
      <w:pPr>
        <w:tabs>
          <w:tab w:val="left" w:pos="567"/>
          <w:tab w:val="left" w:pos="7380"/>
        </w:tabs>
        <w:ind w:firstLine="567"/>
        <w:jc w:val="both"/>
        <w:rPr>
          <w:rFonts w:ascii="Verdana" w:hAnsi="Verdana" w:cs="Arial"/>
          <w:b/>
          <w:sz w:val="20"/>
          <w:szCs w:val="20"/>
        </w:rPr>
      </w:pPr>
    </w:p>
    <w:p w14:paraId="32C301B5" w14:textId="77777777" w:rsidR="00703E69" w:rsidRPr="006D1338" w:rsidRDefault="00703E69" w:rsidP="00404AA3">
      <w:pPr>
        <w:tabs>
          <w:tab w:val="left" w:pos="567"/>
          <w:tab w:val="left" w:pos="7380"/>
        </w:tabs>
        <w:ind w:firstLine="567"/>
        <w:jc w:val="both"/>
        <w:rPr>
          <w:rFonts w:ascii="Verdana" w:hAnsi="Verdana" w:cs="Arial"/>
          <w:sz w:val="20"/>
          <w:szCs w:val="20"/>
        </w:rPr>
      </w:pPr>
      <w:r w:rsidRPr="006D1338">
        <w:rPr>
          <w:rFonts w:ascii="Verdana" w:hAnsi="Verdana" w:cs="Arial"/>
          <w:b/>
          <w:sz w:val="20"/>
          <w:szCs w:val="20"/>
        </w:rPr>
        <w:t>LE SOLUZIONI GIURIDICHE</w:t>
      </w:r>
    </w:p>
    <w:p w14:paraId="7CE45C8F" w14:textId="6A34AC8E" w:rsidR="0088568F" w:rsidRDefault="00276658" w:rsidP="00404AA3">
      <w:pPr>
        <w:tabs>
          <w:tab w:val="left" w:pos="567"/>
        </w:tabs>
        <w:ind w:firstLine="567"/>
        <w:jc w:val="both"/>
        <w:rPr>
          <w:rFonts w:ascii="Verdana" w:hAnsi="Verdana" w:cs="Arial"/>
          <w:sz w:val="20"/>
          <w:szCs w:val="20"/>
        </w:rPr>
      </w:pPr>
      <w:r w:rsidRPr="00ED3567">
        <w:rPr>
          <w:rFonts w:ascii="Verdana" w:hAnsi="Verdana" w:cs="Arial"/>
          <w:sz w:val="20"/>
          <w:szCs w:val="20"/>
        </w:rPr>
        <w:t>La</w:t>
      </w:r>
      <w:r w:rsidR="00C435C1" w:rsidRPr="00ED3567">
        <w:rPr>
          <w:rFonts w:ascii="Verdana" w:hAnsi="Verdana" w:cs="Arial"/>
          <w:sz w:val="20"/>
          <w:szCs w:val="20"/>
        </w:rPr>
        <w:t xml:space="preserve"> </w:t>
      </w:r>
      <w:r w:rsidR="00102D4B">
        <w:rPr>
          <w:rFonts w:ascii="Verdana" w:hAnsi="Verdana" w:cs="Arial"/>
          <w:sz w:val="20"/>
          <w:szCs w:val="20"/>
        </w:rPr>
        <w:t>decisione</w:t>
      </w:r>
      <w:r w:rsidR="0052009B" w:rsidRPr="00ED3567">
        <w:rPr>
          <w:rFonts w:ascii="Verdana" w:hAnsi="Verdana" w:cs="Arial"/>
          <w:sz w:val="20"/>
          <w:szCs w:val="20"/>
        </w:rPr>
        <w:t xml:space="preserve"> </w:t>
      </w:r>
      <w:r w:rsidR="000C3A25">
        <w:rPr>
          <w:rFonts w:ascii="Verdana" w:hAnsi="Verdana" w:cs="Arial"/>
          <w:sz w:val="20"/>
          <w:szCs w:val="20"/>
        </w:rPr>
        <w:t>in commento</w:t>
      </w:r>
      <w:r w:rsidR="0052009B" w:rsidRPr="00ED3567">
        <w:rPr>
          <w:rFonts w:ascii="Verdana" w:hAnsi="Verdana" w:cs="Arial"/>
          <w:sz w:val="20"/>
          <w:szCs w:val="20"/>
        </w:rPr>
        <w:t xml:space="preserve"> rappresenta un </w:t>
      </w:r>
      <w:r w:rsidR="0052009B" w:rsidRPr="00ED3567">
        <w:rPr>
          <w:rFonts w:ascii="Verdana" w:hAnsi="Verdana" w:cs="Arial"/>
          <w:i/>
          <w:sz w:val="20"/>
          <w:szCs w:val="20"/>
        </w:rPr>
        <w:t>novum</w:t>
      </w:r>
      <w:r w:rsidR="0089503C">
        <w:rPr>
          <w:rFonts w:ascii="Verdana" w:hAnsi="Verdana" w:cs="Arial"/>
          <w:sz w:val="20"/>
          <w:szCs w:val="20"/>
        </w:rPr>
        <w:t xml:space="preserve"> nella (scarna) giurisprudenz</w:t>
      </w:r>
      <w:r w:rsidR="0052009B" w:rsidRPr="00ED3567">
        <w:rPr>
          <w:rFonts w:ascii="Verdana" w:hAnsi="Verdana" w:cs="Arial"/>
          <w:sz w:val="20"/>
          <w:szCs w:val="20"/>
        </w:rPr>
        <w:t>a</w:t>
      </w:r>
      <w:r w:rsidR="0089503C">
        <w:rPr>
          <w:rFonts w:ascii="Verdana" w:hAnsi="Verdana" w:cs="Arial"/>
          <w:sz w:val="20"/>
          <w:szCs w:val="20"/>
        </w:rPr>
        <w:t xml:space="preserve"> </w:t>
      </w:r>
      <w:r w:rsidR="00FA708C">
        <w:rPr>
          <w:rFonts w:ascii="Verdana" w:hAnsi="Verdana" w:cs="Arial"/>
          <w:sz w:val="20"/>
          <w:szCs w:val="20"/>
        </w:rPr>
        <w:t>che si rinviene in materia di</w:t>
      </w:r>
      <w:r w:rsidR="0089503C">
        <w:rPr>
          <w:rFonts w:ascii="Verdana" w:hAnsi="Verdana" w:cs="Arial"/>
          <w:sz w:val="20"/>
          <w:szCs w:val="20"/>
        </w:rPr>
        <w:t xml:space="preserve"> decreto di trasferimento</w:t>
      </w:r>
      <w:r w:rsidR="00B412BD">
        <w:rPr>
          <w:rFonts w:ascii="Verdana" w:hAnsi="Verdana" w:cs="Arial"/>
          <w:sz w:val="20"/>
          <w:szCs w:val="20"/>
        </w:rPr>
        <w:t>:</w:t>
      </w:r>
      <w:r w:rsidRPr="00ED3567">
        <w:rPr>
          <w:rFonts w:ascii="Verdana" w:hAnsi="Verdana" w:cs="Arial"/>
          <w:sz w:val="20"/>
          <w:szCs w:val="20"/>
        </w:rPr>
        <w:t xml:space="preserve"> recepisce, invero, un</w:t>
      </w:r>
      <w:r w:rsidR="00404AA3">
        <w:rPr>
          <w:rFonts w:ascii="Verdana" w:hAnsi="Verdana" w:cs="Arial"/>
          <w:sz w:val="20"/>
          <w:szCs w:val="20"/>
        </w:rPr>
        <w:t>a prassi attuata presso alcune agenzie del t</w:t>
      </w:r>
      <w:r w:rsidRPr="00ED3567">
        <w:rPr>
          <w:rFonts w:ascii="Verdana" w:hAnsi="Verdana" w:cs="Arial"/>
          <w:sz w:val="20"/>
          <w:szCs w:val="20"/>
        </w:rPr>
        <w:t>erritorio</w:t>
      </w:r>
      <w:r w:rsidR="00404AA3">
        <w:rPr>
          <w:rFonts w:ascii="Verdana" w:hAnsi="Verdana" w:cs="Arial"/>
          <w:sz w:val="20"/>
          <w:szCs w:val="20"/>
        </w:rPr>
        <w:t xml:space="preserve"> (ex c</w:t>
      </w:r>
      <w:r w:rsidR="00304DDA">
        <w:rPr>
          <w:rFonts w:ascii="Verdana" w:hAnsi="Verdana" w:cs="Arial"/>
          <w:sz w:val="20"/>
          <w:szCs w:val="20"/>
        </w:rPr>
        <w:t>onservatorie) fondata su una particolare interpretazione dell’</w:t>
      </w:r>
      <w:r w:rsidR="00102D4B">
        <w:rPr>
          <w:rFonts w:ascii="Verdana" w:hAnsi="Verdana"/>
          <w:sz w:val="20"/>
          <w:szCs w:val="20"/>
        </w:rPr>
        <w:t xml:space="preserve">art. 2884 c.c. </w:t>
      </w:r>
      <w:r w:rsidR="000C3A25">
        <w:rPr>
          <w:rFonts w:ascii="Verdana" w:hAnsi="Verdana"/>
          <w:sz w:val="20"/>
          <w:szCs w:val="20"/>
        </w:rPr>
        <w:t>T</w:t>
      </w:r>
      <w:r w:rsidR="00102D4B">
        <w:rPr>
          <w:rFonts w:ascii="Verdana" w:hAnsi="Verdana"/>
          <w:sz w:val="20"/>
          <w:szCs w:val="20"/>
        </w:rPr>
        <w:t>t</w:t>
      </w:r>
      <w:r w:rsidRPr="00ED3567">
        <w:rPr>
          <w:rFonts w:ascii="Verdana" w:hAnsi="Verdana"/>
          <w:sz w:val="20"/>
          <w:szCs w:val="20"/>
        </w:rPr>
        <w:t>ale disposizione prev</w:t>
      </w:r>
      <w:r w:rsidR="00102D4B">
        <w:rPr>
          <w:rFonts w:ascii="Verdana" w:hAnsi="Verdana"/>
          <w:sz w:val="20"/>
          <w:szCs w:val="20"/>
        </w:rPr>
        <w:t xml:space="preserve">ede </w:t>
      </w:r>
      <w:r w:rsidRPr="00ED3567">
        <w:rPr>
          <w:rFonts w:ascii="Verdana" w:hAnsi="Verdana"/>
          <w:sz w:val="20"/>
          <w:szCs w:val="20"/>
        </w:rPr>
        <w:t>che "</w:t>
      </w:r>
      <w:r w:rsidRPr="00ED3567">
        <w:rPr>
          <w:rFonts w:ascii="Verdana" w:hAnsi="Verdana"/>
          <w:i/>
          <w:sz w:val="20"/>
          <w:szCs w:val="20"/>
        </w:rPr>
        <w:t>la cancellazione (dell'ipoteca) deve essere eseguita dal conservatore, quando è ordinata con sentenza passata in giudicato o con altro provvedimento definitivo</w:t>
      </w:r>
      <w:r w:rsidRPr="00ED3567">
        <w:rPr>
          <w:rFonts w:ascii="Verdana" w:hAnsi="Verdana"/>
          <w:sz w:val="20"/>
          <w:szCs w:val="20"/>
        </w:rPr>
        <w:t xml:space="preserve">", </w:t>
      </w:r>
      <w:r w:rsidRPr="00ED3567">
        <w:rPr>
          <w:rFonts w:ascii="Verdana" w:hAnsi="Verdana"/>
          <w:iCs/>
          <w:sz w:val="20"/>
          <w:szCs w:val="20"/>
        </w:rPr>
        <w:t>e</w:t>
      </w:r>
      <w:r w:rsidR="00C77BA8" w:rsidRPr="00ED3567">
        <w:rPr>
          <w:rFonts w:ascii="Verdana" w:hAnsi="Verdana"/>
          <w:iCs/>
          <w:sz w:val="20"/>
          <w:szCs w:val="20"/>
        </w:rPr>
        <w:t xml:space="preserve">, pertanto, </w:t>
      </w:r>
      <w:r w:rsidRPr="00ED3567">
        <w:rPr>
          <w:rFonts w:ascii="Verdana" w:hAnsi="Verdana"/>
          <w:sz w:val="20"/>
          <w:szCs w:val="20"/>
        </w:rPr>
        <w:t>non più soggetto ad impugnazione</w:t>
      </w:r>
      <w:r w:rsidR="00703E69" w:rsidRPr="00ED3567">
        <w:rPr>
          <w:rFonts w:ascii="Verdana" w:hAnsi="Verdana" w:cs="Arial"/>
          <w:sz w:val="20"/>
          <w:szCs w:val="20"/>
        </w:rPr>
        <w:t>.</w:t>
      </w:r>
      <w:r w:rsidR="00495008" w:rsidRPr="00ED3567">
        <w:rPr>
          <w:rFonts w:ascii="Verdana" w:hAnsi="Verdana" w:cs="Arial"/>
          <w:sz w:val="20"/>
          <w:szCs w:val="20"/>
        </w:rPr>
        <w:t xml:space="preserve"> </w:t>
      </w:r>
    </w:p>
    <w:p w14:paraId="4EEB981B" w14:textId="3F37109C" w:rsidR="00FA708C" w:rsidRDefault="00304DDA" w:rsidP="00404AA3">
      <w:pPr>
        <w:tabs>
          <w:tab w:val="left" w:pos="567"/>
        </w:tabs>
        <w:ind w:firstLine="567"/>
        <w:jc w:val="both"/>
        <w:rPr>
          <w:rFonts w:ascii="Verdana" w:hAnsi="Verdana" w:cs="Arial"/>
          <w:sz w:val="20"/>
          <w:szCs w:val="20"/>
        </w:rPr>
      </w:pPr>
      <w:r>
        <w:rPr>
          <w:rFonts w:ascii="Verdana" w:hAnsi="Verdana" w:cs="Arial"/>
          <w:sz w:val="20"/>
          <w:szCs w:val="20"/>
        </w:rPr>
        <w:t xml:space="preserve">Tale soluzione non può essere condivisa. </w:t>
      </w:r>
    </w:p>
    <w:p w14:paraId="7A0BDA9E" w14:textId="7EA470D7" w:rsidR="001623DF" w:rsidRDefault="00FA708C" w:rsidP="00404AA3">
      <w:pPr>
        <w:tabs>
          <w:tab w:val="left" w:pos="567"/>
        </w:tabs>
        <w:ind w:firstLine="567"/>
        <w:jc w:val="both"/>
        <w:rPr>
          <w:rFonts w:ascii="Verdana" w:hAnsi="Verdana"/>
          <w:sz w:val="20"/>
          <w:szCs w:val="20"/>
        </w:rPr>
      </w:pPr>
      <w:r>
        <w:rPr>
          <w:rFonts w:ascii="Verdana" w:hAnsi="Verdana" w:cs="Arial"/>
          <w:sz w:val="20"/>
          <w:szCs w:val="20"/>
        </w:rPr>
        <w:t>In primo luogo perché, da sempre,</w:t>
      </w:r>
      <w:r w:rsidR="00495008" w:rsidRPr="00ED3567">
        <w:rPr>
          <w:rFonts w:ascii="Verdana" w:hAnsi="Verdana" w:cs="Arial"/>
          <w:sz w:val="20"/>
          <w:szCs w:val="20"/>
        </w:rPr>
        <w:t xml:space="preserve"> </w:t>
      </w:r>
      <w:r w:rsidR="00495008" w:rsidRPr="00ED3567">
        <w:rPr>
          <w:rFonts w:ascii="Verdana" w:hAnsi="Verdana"/>
          <w:sz w:val="20"/>
          <w:szCs w:val="20"/>
        </w:rPr>
        <w:t xml:space="preserve">il decreto di trasferimento </w:t>
      </w:r>
      <w:r w:rsidR="00B412BD">
        <w:rPr>
          <w:rFonts w:ascii="Verdana" w:hAnsi="Verdana"/>
          <w:sz w:val="20"/>
          <w:szCs w:val="20"/>
        </w:rPr>
        <w:t>costituisce</w:t>
      </w:r>
      <w:r w:rsidR="00495008" w:rsidRPr="00ED3567">
        <w:rPr>
          <w:rFonts w:ascii="Verdana" w:hAnsi="Verdana"/>
          <w:sz w:val="20"/>
          <w:szCs w:val="20"/>
        </w:rPr>
        <w:t xml:space="preserve"> un “</w:t>
      </w:r>
      <w:r w:rsidR="00495008" w:rsidRPr="0088568F">
        <w:rPr>
          <w:rFonts w:ascii="Verdana" w:hAnsi="Verdana"/>
          <w:i/>
          <w:sz w:val="20"/>
          <w:szCs w:val="20"/>
        </w:rPr>
        <w:t xml:space="preserve">provvedimento definitivo che impone al conservatore l’immediata cancellazione dei gravami, pur essendo l’atto impugnabile; ciò sul presupposto che definisce la fase liquidatoria e non è revocabile </w:t>
      </w:r>
      <w:r w:rsidR="0088568F">
        <w:rPr>
          <w:rFonts w:ascii="Verdana" w:hAnsi="Verdana"/>
          <w:i/>
          <w:sz w:val="20"/>
          <w:szCs w:val="20"/>
        </w:rPr>
        <w:t>se</w:t>
      </w:r>
      <w:r w:rsidR="00495008" w:rsidRPr="0088568F">
        <w:rPr>
          <w:rFonts w:ascii="Verdana" w:hAnsi="Verdana"/>
          <w:i/>
          <w:sz w:val="20"/>
          <w:szCs w:val="20"/>
        </w:rPr>
        <w:t xml:space="preserve"> </w:t>
      </w:r>
      <w:r w:rsidR="0088568F">
        <w:rPr>
          <w:rFonts w:ascii="Verdana" w:hAnsi="Verdana"/>
          <w:i/>
          <w:sz w:val="20"/>
          <w:szCs w:val="20"/>
        </w:rPr>
        <w:t xml:space="preserve">ormai </w:t>
      </w:r>
      <w:r w:rsidR="00495008" w:rsidRPr="0088568F">
        <w:rPr>
          <w:rFonts w:ascii="Verdana" w:hAnsi="Verdana"/>
          <w:i/>
          <w:sz w:val="20"/>
          <w:szCs w:val="20"/>
        </w:rPr>
        <w:t>posto in esecuzione, quando cioè siano state espletate le formalità successive alla sua emanazione</w:t>
      </w:r>
      <w:r w:rsidR="0088568F">
        <w:rPr>
          <w:rFonts w:ascii="Verdana" w:hAnsi="Verdana"/>
          <w:sz w:val="20"/>
          <w:szCs w:val="20"/>
        </w:rPr>
        <w:t>”</w:t>
      </w:r>
      <w:r w:rsidR="00495008" w:rsidRPr="00ED3567">
        <w:rPr>
          <w:rFonts w:ascii="Verdana" w:hAnsi="Verdana"/>
          <w:sz w:val="20"/>
          <w:szCs w:val="20"/>
        </w:rPr>
        <w:t xml:space="preserve"> (Cass. </w:t>
      </w:r>
      <w:r w:rsidR="00B412BD">
        <w:rPr>
          <w:rFonts w:ascii="Verdana" w:hAnsi="Verdana"/>
          <w:sz w:val="20"/>
          <w:szCs w:val="20"/>
        </w:rPr>
        <w:t>16.11.20011, n. 2400</w:t>
      </w:r>
      <w:r w:rsidR="00495008" w:rsidRPr="00ED3567">
        <w:rPr>
          <w:rFonts w:ascii="Verdana" w:hAnsi="Verdana"/>
          <w:sz w:val="20"/>
          <w:szCs w:val="20"/>
        </w:rPr>
        <w:t>1).</w:t>
      </w:r>
      <w:r w:rsidR="00495008" w:rsidRPr="00ED3567">
        <w:rPr>
          <w:rFonts w:ascii="Verdana" w:hAnsi="Verdana" w:cs="Arial"/>
          <w:sz w:val="20"/>
          <w:szCs w:val="20"/>
        </w:rPr>
        <w:t xml:space="preserve"> </w:t>
      </w:r>
      <w:r w:rsidR="000C3A25">
        <w:rPr>
          <w:rFonts w:ascii="Verdana" w:hAnsi="Verdana" w:cs="Arial"/>
          <w:sz w:val="20"/>
          <w:szCs w:val="20"/>
        </w:rPr>
        <w:t>Per vero,</w:t>
      </w:r>
      <w:r w:rsidR="00495008" w:rsidRPr="00ED3567">
        <w:rPr>
          <w:rFonts w:ascii="Verdana" w:hAnsi="Verdana" w:cs="Arial"/>
          <w:sz w:val="20"/>
          <w:szCs w:val="20"/>
        </w:rPr>
        <w:t xml:space="preserve"> </w:t>
      </w:r>
      <w:r w:rsidR="0089503C">
        <w:rPr>
          <w:rFonts w:ascii="Verdana" w:hAnsi="Verdana"/>
          <w:sz w:val="20"/>
          <w:szCs w:val="20"/>
        </w:rPr>
        <w:t xml:space="preserve">la definitività di cui </w:t>
      </w:r>
      <w:r w:rsidR="000C3A25">
        <w:rPr>
          <w:rFonts w:ascii="Verdana" w:hAnsi="Verdana"/>
          <w:sz w:val="20"/>
          <w:szCs w:val="20"/>
        </w:rPr>
        <w:t>al</w:t>
      </w:r>
      <w:r w:rsidR="00495008" w:rsidRPr="00ED3567">
        <w:rPr>
          <w:rFonts w:ascii="Verdana" w:hAnsi="Verdana"/>
          <w:sz w:val="20"/>
          <w:szCs w:val="20"/>
        </w:rPr>
        <w:t xml:space="preserve">l’art. 2884 c.c. è caratteristica diversa dalla inoppugnabilità per gli atti diversi dalle sentenze: si tratta, in effetti, di atti definitivi, </w:t>
      </w:r>
      <w:r w:rsidR="000C3A25">
        <w:rPr>
          <w:rFonts w:ascii="Verdana" w:hAnsi="Verdana"/>
          <w:sz w:val="20"/>
          <w:szCs w:val="20"/>
        </w:rPr>
        <w:t>sep</w:t>
      </w:r>
      <w:r w:rsidR="00495008" w:rsidRPr="00ED3567">
        <w:rPr>
          <w:rFonts w:ascii="Verdana" w:hAnsi="Verdana"/>
          <w:sz w:val="20"/>
          <w:szCs w:val="20"/>
        </w:rPr>
        <w:t xml:space="preserve">pur impugnabili. </w:t>
      </w:r>
    </w:p>
    <w:p w14:paraId="1EA2305A" w14:textId="2DAD59AF" w:rsidR="00404AA3" w:rsidRPr="000C3A25" w:rsidRDefault="000C3A25" w:rsidP="00404AA3">
      <w:pPr>
        <w:tabs>
          <w:tab w:val="left" w:pos="567"/>
        </w:tabs>
        <w:ind w:firstLine="567"/>
        <w:jc w:val="both"/>
        <w:rPr>
          <w:rFonts w:ascii="Verdana" w:hAnsi="Verdana"/>
          <w:sz w:val="20"/>
          <w:szCs w:val="20"/>
        </w:rPr>
      </w:pPr>
      <w:r>
        <w:rPr>
          <w:rFonts w:ascii="Verdana" w:hAnsi="Verdana"/>
          <w:sz w:val="20"/>
          <w:szCs w:val="20"/>
        </w:rPr>
        <w:t>Quanto</w:t>
      </w:r>
      <w:r w:rsidR="00781721">
        <w:rPr>
          <w:rFonts w:ascii="Verdana" w:hAnsi="Verdana"/>
          <w:sz w:val="20"/>
          <w:szCs w:val="20"/>
        </w:rPr>
        <w:t xml:space="preserve"> al decreto di trasferimento </w:t>
      </w:r>
      <w:r w:rsidR="00FC2EB2">
        <w:rPr>
          <w:rFonts w:ascii="Verdana" w:hAnsi="Verdana"/>
          <w:sz w:val="20"/>
          <w:szCs w:val="20"/>
        </w:rPr>
        <w:t>va</w:t>
      </w:r>
      <w:r w:rsidR="00781721">
        <w:rPr>
          <w:rFonts w:ascii="Verdana" w:hAnsi="Verdana"/>
          <w:sz w:val="20"/>
          <w:szCs w:val="20"/>
        </w:rPr>
        <w:t xml:space="preserve"> precisa</w:t>
      </w:r>
      <w:r w:rsidR="00FC2EB2">
        <w:rPr>
          <w:rFonts w:ascii="Verdana" w:hAnsi="Verdana"/>
          <w:sz w:val="20"/>
          <w:szCs w:val="20"/>
        </w:rPr>
        <w:t>to</w:t>
      </w:r>
      <w:r w:rsidR="00781721">
        <w:rPr>
          <w:rFonts w:ascii="Verdana" w:hAnsi="Verdana"/>
          <w:sz w:val="20"/>
          <w:szCs w:val="20"/>
        </w:rPr>
        <w:t xml:space="preserve"> che il carattere immediatamente esecutivo </w:t>
      </w:r>
      <w:r w:rsidR="00304DDA">
        <w:rPr>
          <w:rFonts w:ascii="Verdana" w:hAnsi="Verdana"/>
          <w:sz w:val="20"/>
          <w:szCs w:val="20"/>
        </w:rPr>
        <w:t>deriva dal fatto che è provvedimento esclusivo del g.e.</w:t>
      </w:r>
      <w:r w:rsidR="001623DF" w:rsidRPr="000C3A25">
        <w:rPr>
          <w:rFonts w:ascii="Verdana" w:hAnsi="Verdana"/>
          <w:sz w:val="20"/>
          <w:szCs w:val="20"/>
        </w:rPr>
        <w:t>; senza trascurare,</w:t>
      </w:r>
      <w:r w:rsidR="00304DDA" w:rsidRPr="000C3A25">
        <w:rPr>
          <w:rFonts w:ascii="Verdana" w:hAnsi="Verdana"/>
          <w:sz w:val="20"/>
          <w:szCs w:val="20"/>
        </w:rPr>
        <w:t xml:space="preserve"> più in  generale, che i provvedimenti del giudice dell’esecuzione sono intrinsecamente esecutivi perché impartiti per attuare il comando portato dal titolo su cui è fondata l’espropriazione </w:t>
      </w:r>
      <w:r w:rsidR="00304DDA" w:rsidRPr="000C3A25">
        <w:rPr>
          <w:rFonts w:ascii="Verdana" w:hAnsi="Verdana"/>
          <w:i/>
          <w:sz w:val="20"/>
          <w:szCs w:val="20"/>
        </w:rPr>
        <w:t xml:space="preserve">ex </w:t>
      </w:r>
      <w:r w:rsidR="00304DDA" w:rsidRPr="000C3A25">
        <w:rPr>
          <w:rFonts w:ascii="Verdana" w:hAnsi="Verdana"/>
          <w:sz w:val="20"/>
          <w:szCs w:val="20"/>
        </w:rPr>
        <w:t>art. 474 c.p.c. (</w:t>
      </w:r>
      <w:r w:rsidR="001623DF" w:rsidRPr="000C3A25">
        <w:rPr>
          <w:rFonts w:ascii="Verdana" w:hAnsi="Verdana"/>
          <w:sz w:val="20"/>
          <w:szCs w:val="20"/>
        </w:rPr>
        <w:t xml:space="preserve">così </w:t>
      </w:r>
      <w:r w:rsidR="00304DDA" w:rsidRPr="000C3A25">
        <w:rPr>
          <w:rFonts w:ascii="Verdana" w:hAnsi="Verdana"/>
          <w:sz w:val="20"/>
          <w:szCs w:val="20"/>
        </w:rPr>
        <w:t xml:space="preserve">Cass. 31 marzo 1949, n. 744, sia pure in relazione all’ordinanza che disponeva la </w:t>
      </w:r>
      <w:r w:rsidR="001623DF" w:rsidRPr="000C3A25">
        <w:rPr>
          <w:rFonts w:ascii="Verdana" w:hAnsi="Verdana"/>
          <w:sz w:val="20"/>
          <w:szCs w:val="20"/>
        </w:rPr>
        <w:t>sostituzione di altra persona al debitore nelle funzioni di custode dei beni pignorati).</w:t>
      </w:r>
      <w:r w:rsidR="00304DDA" w:rsidRPr="000C3A25">
        <w:rPr>
          <w:rFonts w:ascii="Verdana" w:hAnsi="Verdana"/>
          <w:sz w:val="20"/>
          <w:szCs w:val="20"/>
        </w:rPr>
        <w:t xml:space="preserve"> </w:t>
      </w:r>
    </w:p>
    <w:p w14:paraId="17188929" w14:textId="11DE05D1" w:rsidR="00562CB5" w:rsidRPr="000C3A25" w:rsidRDefault="00FA708C" w:rsidP="00562CB5">
      <w:pPr>
        <w:tabs>
          <w:tab w:val="left" w:pos="567"/>
        </w:tabs>
        <w:ind w:firstLine="567"/>
        <w:jc w:val="both"/>
        <w:rPr>
          <w:rFonts w:ascii="Verdana" w:hAnsi="Verdana"/>
          <w:sz w:val="20"/>
          <w:szCs w:val="20"/>
        </w:rPr>
      </w:pPr>
      <w:r w:rsidRPr="000C3A25">
        <w:rPr>
          <w:rFonts w:ascii="Verdana" w:hAnsi="Verdana"/>
          <w:sz w:val="20"/>
          <w:szCs w:val="20"/>
        </w:rPr>
        <w:t xml:space="preserve"> In secondo luogo, </w:t>
      </w:r>
      <w:r w:rsidR="001623DF" w:rsidRPr="000C3A25">
        <w:rPr>
          <w:rFonts w:ascii="Verdana" w:hAnsi="Verdana"/>
          <w:sz w:val="20"/>
          <w:szCs w:val="20"/>
        </w:rPr>
        <w:t>l’i</w:t>
      </w:r>
      <w:r w:rsidR="00404AA3" w:rsidRPr="000C3A25">
        <w:rPr>
          <w:rFonts w:ascii="Verdana" w:hAnsi="Verdana"/>
          <w:sz w:val="20"/>
          <w:szCs w:val="20"/>
        </w:rPr>
        <w:t>ntr</w:t>
      </w:r>
      <w:r w:rsidR="000C3A25">
        <w:rPr>
          <w:rFonts w:ascii="Verdana" w:hAnsi="Verdana"/>
          <w:sz w:val="20"/>
          <w:szCs w:val="20"/>
        </w:rPr>
        <w:t>in</w:t>
      </w:r>
      <w:r w:rsidR="00404AA3" w:rsidRPr="000C3A25">
        <w:rPr>
          <w:rFonts w:ascii="Verdana" w:hAnsi="Verdana"/>
          <w:sz w:val="20"/>
          <w:szCs w:val="20"/>
        </w:rPr>
        <w:t>seca</w:t>
      </w:r>
      <w:r w:rsidR="001623DF" w:rsidRPr="000C3A25">
        <w:rPr>
          <w:rFonts w:ascii="Verdana" w:hAnsi="Verdana"/>
          <w:sz w:val="20"/>
          <w:szCs w:val="20"/>
        </w:rPr>
        <w:t xml:space="preserve"> esecutività del decreto di trasferimento e dell’effetto purgativo della vendita forzata </w:t>
      </w:r>
      <w:r w:rsidR="00FC2EB2" w:rsidRPr="000C3A25">
        <w:rPr>
          <w:rFonts w:ascii="Verdana" w:hAnsi="Verdana"/>
          <w:sz w:val="20"/>
          <w:szCs w:val="20"/>
        </w:rPr>
        <w:t xml:space="preserve">è confermata </w:t>
      </w:r>
      <w:r w:rsidR="00781721" w:rsidRPr="000C3A25">
        <w:rPr>
          <w:rFonts w:ascii="Verdana" w:hAnsi="Verdana"/>
          <w:sz w:val="20"/>
          <w:szCs w:val="20"/>
        </w:rPr>
        <w:t xml:space="preserve">dalla circostanza che </w:t>
      </w:r>
      <w:r w:rsidR="00B76BF1" w:rsidRPr="000C3A25">
        <w:rPr>
          <w:rFonts w:ascii="Verdana" w:hAnsi="Verdana"/>
          <w:sz w:val="20"/>
          <w:szCs w:val="20"/>
        </w:rPr>
        <w:t>costituisce</w:t>
      </w:r>
      <w:r w:rsidR="00781721" w:rsidRPr="000C3A25">
        <w:rPr>
          <w:rFonts w:ascii="Verdana" w:hAnsi="Verdana"/>
          <w:sz w:val="20"/>
          <w:szCs w:val="20"/>
        </w:rPr>
        <w:t xml:space="preserve"> titolo esecutivo per il rilascio, </w:t>
      </w:r>
      <w:r w:rsidR="00781721" w:rsidRPr="000C3A25">
        <w:rPr>
          <w:rFonts w:ascii="Verdana" w:hAnsi="Verdana"/>
          <w:i/>
          <w:sz w:val="20"/>
          <w:szCs w:val="20"/>
        </w:rPr>
        <w:t xml:space="preserve">ex </w:t>
      </w:r>
      <w:r w:rsidR="003F03CF" w:rsidRPr="000C3A25">
        <w:rPr>
          <w:rFonts w:ascii="Verdana" w:hAnsi="Verdana"/>
          <w:sz w:val="20"/>
          <w:szCs w:val="20"/>
        </w:rPr>
        <w:t xml:space="preserve">art. 586, ult. co., c.p.c. </w:t>
      </w:r>
    </w:p>
    <w:p w14:paraId="0129F09B" w14:textId="27FF5B49" w:rsidR="009F2510" w:rsidRPr="000C3A25" w:rsidRDefault="00217DB7" w:rsidP="00562CB5">
      <w:pPr>
        <w:tabs>
          <w:tab w:val="left" w:pos="567"/>
        </w:tabs>
        <w:ind w:firstLine="567"/>
        <w:jc w:val="both"/>
        <w:rPr>
          <w:rFonts w:ascii="Verdana" w:hAnsi="Verdana"/>
          <w:color w:val="333333"/>
          <w:sz w:val="20"/>
          <w:szCs w:val="20"/>
        </w:rPr>
      </w:pPr>
      <w:r w:rsidRPr="000C3A25">
        <w:rPr>
          <w:rFonts w:ascii="Verdana" w:hAnsi="Verdana"/>
          <w:sz w:val="20"/>
          <w:szCs w:val="20"/>
        </w:rPr>
        <w:t xml:space="preserve">Da ultimo, </w:t>
      </w:r>
      <w:r w:rsidR="009F2510" w:rsidRPr="000C3A25">
        <w:rPr>
          <w:rFonts w:ascii="Verdana" w:hAnsi="Verdana"/>
          <w:sz w:val="20"/>
          <w:szCs w:val="20"/>
        </w:rPr>
        <w:t xml:space="preserve">va detto che </w:t>
      </w:r>
      <w:r w:rsidR="009F2510" w:rsidRPr="000C3A25">
        <w:rPr>
          <w:rFonts w:ascii="Verdana" w:hAnsi="Verdana"/>
          <w:color w:val="333333"/>
          <w:sz w:val="20"/>
          <w:szCs w:val="20"/>
        </w:rPr>
        <w:t xml:space="preserve">l’art. 2884 c.c. </w:t>
      </w:r>
      <w:r w:rsidR="00562CB5" w:rsidRPr="000C3A25">
        <w:rPr>
          <w:rFonts w:ascii="Verdana" w:hAnsi="Verdana"/>
          <w:color w:val="333333"/>
          <w:sz w:val="20"/>
          <w:szCs w:val="20"/>
        </w:rPr>
        <w:t xml:space="preserve">richiamato dal Tribunale di Lucca, </w:t>
      </w:r>
      <w:r w:rsidR="009F2510" w:rsidRPr="000C3A25">
        <w:rPr>
          <w:rFonts w:ascii="Verdana" w:hAnsi="Verdana"/>
          <w:color w:val="333333"/>
          <w:sz w:val="20"/>
          <w:szCs w:val="20"/>
        </w:rPr>
        <w:t xml:space="preserve">disciplina l’ipotesi del creditore </w:t>
      </w:r>
      <w:r w:rsidR="000C3A25">
        <w:rPr>
          <w:rFonts w:ascii="Verdana" w:hAnsi="Verdana"/>
          <w:color w:val="333333"/>
          <w:sz w:val="20"/>
          <w:szCs w:val="20"/>
        </w:rPr>
        <w:t xml:space="preserve">che, dopo il pagamento dell’obbligazione, </w:t>
      </w:r>
      <w:r w:rsidR="009F2510" w:rsidRPr="000C3A25">
        <w:rPr>
          <w:rFonts w:ascii="Verdana" w:hAnsi="Verdana"/>
          <w:color w:val="333333"/>
          <w:sz w:val="20"/>
          <w:szCs w:val="20"/>
        </w:rPr>
        <w:t xml:space="preserve">non acconsente alla cancellazione dell’iscrizione ipotecaria. In </w:t>
      </w:r>
      <w:r w:rsidR="004E04E3">
        <w:rPr>
          <w:rFonts w:ascii="Verdana" w:hAnsi="Verdana"/>
          <w:color w:val="333333"/>
          <w:sz w:val="20"/>
          <w:szCs w:val="20"/>
        </w:rPr>
        <w:t>questa ipotesi</w:t>
      </w:r>
      <w:r w:rsidR="009F2510" w:rsidRPr="000C3A25">
        <w:rPr>
          <w:rFonts w:ascii="Verdana" w:hAnsi="Verdana"/>
          <w:color w:val="333333"/>
          <w:sz w:val="20"/>
          <w:szCs w:val="20"/>
        </w:rPr>
        <w:t xml:space="preserve"> il debitore, il terzo acquirente del bene ipotecato, il terzo datore d’ipoteca e coloro che possono essere pregiudicati dalla permanenza della iscrizione ipotecaria, possono chiedere l’accertamento dell’es</w:t>
      </w:r>
      <w:r w:rsidR="00562CB5" w:rsidRPr="000C3A25">
        <w:rPr>
          <w:rFonts w:ascii="Verdana" w:hAnsi="Verdana"/>
          <w:color w:val="333333"/>
          <w:sz w:val="20"/>
          <w:szCs w:val="20"/>
        </w:rPr>
        <w:t>tinzione del credito e</w:t>
      </w:r>
      <w:r w:rsidR="009F2510" w:rsidRPr="000C3A25">
        <w:rPr>
          <w:rFonts w:ascii="Verdana" w:hAnsi="Verdana"/>
          <w:color w:val="333333"/>
          <w:sz w:val="20"/>
          <w:szCs w:val="20"/>
        </w:rPr>
        <w:t xml:space="preserve"> dell</w:t>
      </w:r>
      <w:r w:rsidR="00562CB5" w:rsidRPr="000C3A25">
        <w:rPr>
          <w:rFonts w:ascii="Verdana" w:hAnsi="Verdana"/>
          <w:color w:val="333333"/>
          <w:sz w:val="20"/>
          <w:szCs w:val="20"/>
        </w:rPr>
        <w:t>a garanzia che lo assiste</w:t>
      </w:r>
      <w:r w:rsidR="009F2510" w:rsidRPr="000C3A25">
        <w:rPr>
          <w:rFonts w:ascii="Verdana" w:hAnsi="Verdana"/>
          <w:color w:val="333333"/>
          <w:sz w:val="20"/>
          <w:szCs w:val="20"/>
        </w:rPr>
        <w:t>.</w:t>
      </w:r>
      <w:r w:rsidR="00562CB5" w:rsidRPr="000C3A25">
        <w:rPr>
          <w:rFonts w:ascii="Verdana" w:hAnsi="Verdana"/>
          <w:color w:val="333333"/>
          <w:sz w:val="20"/>
          <w:szCs w:val="20"/>
        </w:rPr>
        <w:t xml:space="preserve"> Pertanto </w:t>
      </w:r>
      <w:r w:rsidR="000C3A25">
        <w:rPr>
          <w:rFonts w:ascii="Verdana" w:hAnsi="Verdana"/>
          <w:color w:val="333333"/>
          <w:sz w:val="20"/>
          <w:szCs w:val="20"/>
        </w:rPr>
        <w:t>la sentenza che accoglie la domanda</w:t>
      </w:r>
      <w:r w:rsidR="00562CB5" w:rsidRPr="000C3A25">
        <w:rPr>
          <w:rFonts w:ascii="Verdana" w:hAnsi="Verdana"/>
          <w:color w:val="333333"/>
          <w:sz w:val="20"/>
          <w:szCs w:val="20"/>
        </w:rPr>
        <w:t xml:space="preserve"> </w:t>
      </w:r>
      <w:r w:rsidR="000C3A25">
        <w:rPr>
          <w:rFonts w:ascii="Verdana" w:hAnsi="Verdana"/>
          <w:color w:val="333333"/>
          <w:sz w:val="20"/>
          <w:szCs w:val="20"/>
        </w:rPr>
        <w:t>è attuata</w:t>
      </w:r>
      <w:r w:rsidR="00562CB5" w:rsidRPr="000C3A25">
        <w:rPr>
          <w:rFonts w:ascii="Verdana" w:hAnsi="Verdana"/>
          <w:color w:val="333333"/>
          <w:sz w:val="20"/>
          <w:szCs w:val="20"/>
        </w:rPr>
        <w:t xml:space="preserve"> dal con</w:t>
      </w:r>
      <w:r w:rsidR="000C3A25">
        <w:rPr>
          <w:rFonts w:ascii="Verdana" w:hAnsi="Verdana"/>
          <w:color w:val="333333"/>
          <w:sz w:val="20"/>
          <w:szCs w:val="20"/>
        </w:rPr>
        <w:t>servatore solo una volta passata</w:t>
      </w:r>
      <w:r w:rsidR="00562CB5" w:rsidRPr="000C3A25">
        <w:rPr>
          <w:rFonts w:ascii="Verdana" w:hAnsi="Verdana"/>
          <w:color w:val="333333"/>
          <w:sz w:val="20"/>
          <w:szCs w:val="20"/>
        </w:rPr>
        <w:t xml:space="preserve"> in giudicato.</w:t>
      </w:r>
    </w:p>
    <w:p w14:paraId="1BC7B503" w14:textId="0A5DC4FB" w:rsidR="00562CB5" w:rsidRPr="00225DF3" w:rsidRDefault="00562CB5" w:rsidP="00562CB5">
      <w:pPr>
        <w:tabs>
          <w:tab w:val="left" w:pos="567"/>
        </w:tabs>
        <w:ind w:firstLine="567"/>
        <w:jc w:val="both"/>
        <w:rPr>
          <w:rFonts w:ascii="Verdana" w:hAnsi="Verdana"/>
          <w:sz w:val="20"/>
          <w:szCs w:val="20"/>
        </w:rPr>
      </w:pPr>
      <w:r w:rsidRPr="000C3A25">
        <w:rPr>
          <w:rFonts w:ascii="Verdana" w:hAnsi="Verdana"/>
          <w:sz w:val="20"/>
          <w:szCs w:val="20"/>
        </w:rPr>
        <w:t>La norma</w:t>
      </w:r>
      <w:r w:rsidR="000C3A25">
        <w:rPr>
          <w:rFonts w:ascii="Verdana" w:hAnsi="Verdana"/>
          <w:sz w:val="20"/>
          <w:szCs w:val="20"/>
        </w:rPr>
        <w:t xml:space="preserve"> che governa il caso di specie </w:t>
      </w:r>
      <w:r w:rsidRPr="000C3A25">
        <w:rPr>
          <w:rFonts w:ascii="Verdana" w:hAnsi="Verdana"/>
          <w:sz w:val="20"/>
          <w:szCs w:val="20"/>
        </w:rPr>
        <w:t>sembra</w:t>
      </w:r>
      <w:r w:rsidR="000C3A25">
        <w:rPr>
          <w:rFonts w:ascii="Verdana" w:hAnsi="Verdana"/>
          <w:sz w:val="20"/>
          <w:szCs w:val="20"/>
        </w:rPr>
        <w:t>, invece,</w:t>
      </w:r>
      <w:r w:rsidRPr="000C3A25">
        <w:rPr>
          <w:rFonts w:ascii="Verdana" w:hAnsi="Verdana"/>
          <w:sz w:val="20"/>
          <w:szCs w:val="20"/>
        </w:rPr>
        <w:t xml:space="preserve"> da individuarsi nel n. 7) dell’art. 2878 c.c. che, nell’elencare le cause di estinzione dell’ipoteca, annovera espressamente tra queste ultime la pronunzia del “</w:t>
      </w:r>
      <w:r w:rsidRPr="000C3A25">
        <w:rPr>
          <w:rFonts w:ascii="Verdana" w:hAnsi="Verdana"/>
          <w:i/>
          <w:sz w:val="20"/>
          <w:szCs w:val="20"/>
        </w:rPr>
        <w:t>provvedimento che trasferisce all’acquirente il diritto espropriato e ordina la cancellazione</w:t>
      </w:r>
      <w:r w:rsidRPr="00225DF3">
        <w:rPr>
          <w:rFonts w:ascii="Verdana" w:hAnsi="Verdana"/>
          <w:i/>
          <w:sz w:val="20"/>
          <w:szCs w:val="20"/>
        </w:rPr>
        <w:t xml:space="preserve"> delle ipoteche</w:t>
      </w:r>
      <w:r w:rsidRPr="00225DF3">
        <w:rPr>
          <w:rFonts w:ascii="Verdana" w:hAnsi="Verdana"/>
          <w:sz w:val="20"/>
          <w:szCs w:val="20"/>
        </w:rPr>
        <w:t xml:space="preserve">”, e cioè il decreto di trasferimento emesso dal giudice dell’esecuzione. </w:t>
      </w:r>
      <w:r w:rsidR="000C3A25">
        <w:rPr>
          <w:rFonts w:ascii="Verdana" w:hAnsi="Verdana"/>
          <w:sz w:val="20"/>
          <w:szCs w:val="20"/>
        </w:rPr>
        <w:t>Qui</w:t>
      </w:r>
      <w:r w:rsidRPr="00225DF3">
        <w:rPr>
          <w:rFonts w:ascii="Verdana" w:hAnsi="Verdana"/>
          <w:sz w:val="20"/>
          <w:szCs w:val="20"/>
        </w:rPr>
        <w:t xml:space="preserve"> la cancellazione prescinde dal rispetto del principio del contraddittorio perché il soggetto che subisce la cancellazione è parte del processo esecutivo (</w:t>
      </w:r>
      <w:r w:rsidR="000C3A25">
        <w:rPr>
          <w:rFonts w:ascii="Verdana" w:hAnsi="Verdana"/>
          <w:sz w:val="20"/>
          <w:szCs w:val="20"/>
        </w:rPr>
        <w:t xml:space="preserve">creditore </w:t>
      </w:r>
      <w:r w:rsidRPr="00225DF3">
        <w:rPr>
          <w:rFonts w:ascii="Verdana" w:hAnsi="Verdana"/>
          <w:sz w:val="20"/>
          <w:szCs w:val="20"/>
        </w:rPr>
        <w:t>pignorante) oppure ha ricevuto l’avviso del pignoramento (</w:t>
      </w:r>
      <w:r w:rsidR="000C3A25">
        <w:rPr>
          <w:rFonts w:ascii="Verdana" w:hAnsi="Verdana"/>
          <w:sz w:val="20"/>
          <w:szCs w:val="20"/>
        </w:rPr>
        <w:t xml:space="preserve">creditore </w:t>
      </w:r>
      <w:r w:rsidRPr="00225DF3">
        <w:rPr>
          <w:rFonts w:ascii="Verdana" w:hAnsi="Verdana"/>
          <w:sz w:val="20"/>
          <w:szCs w:val="20"/>
        </w:rPr>
        <w:t>ipotecario, sequestrante), ed è</w:t>
      </w:r>
      <w:r w:rsidR="00225DF3" w:rsidRPr="00225DF3">
        <w:rPr>
          <w:rFonts w:ascii="Verdana" w:hAnsi="Verdana"/>
          <w:sz w:val="20"/>
          <w:szCs w:val="20"/>
        </w:rPr>
        <w:t>, pertanto, consapevole</w:t>
      </w:r>
      <w:r w:rsidRPr="00225DF3">
        <w:rPr>
          <w:rFonts w:ascii="Verdana" w:hAnsi="Verdana"/>
          <w:sz w:val="20"/>
          <w:szCs w:val="20"/>
        </w:rPr>
        <w:t xml:space="preserve"> che la vendita forzata comporta </w:t>
      </w:r>
      <w:r w:rsidRPr="00225DF3">
        <w:rPr>
          <w:rFonts w:ascii="Verdana" w:hAnsi="Verdana"/>
          <w:i/>
          <w:sz w:val="20"/>
          <w:szCs w:val="20"/>
        </w:rPr>
        <w:t xml:space="preserve">ex lege </w:t>
      </w:r>
      <w:r w:rsidRPr="00225DF3">
        <w:rPr>
          <w:rFonts w:ascii="Verdana" w:hAnsi="Verdana"/>
          <w:sz w:val="20"/>
          <w:szCs w:val="20"/>
        </w:rPr>
        <w:t xml:space="preserve">l'ordine di cancellazione del vincolo e/o garanzia. </w:t>
      </w:r>
      <w:r w:rsidR="00225DF3" w:rsidRPr="00225DF3">
        <w:rPr>
          <w:rFonts w:ascii="Verdana" w:hAnsi="Verdana"/>
          <w:sz w:val="20"/>
          <w:szCs w:val="20"/>
        </w:rPr>
        <w:t>Non occorre, dunque,</w:t>
      </w:r>
      <w:r w:rsidRPr="00225DF3">
        <w:rPr>
          <w:rFonts w:ascii="Verdana" w:hAnsi="Verdana"/>
          <w:sz w:val="20"/>
          <w:szCs w:val="20"/>
        </w:rPr>
        <w:t xml:space="preserve"> disporre l'audizione dell'interessato prima di ordinare la cancellazione. </w:t>
      </w:r>
      <w:r w:rsidR="00BE5BC4">
        <w:rPr>
          <w:rFonts w:ascii="Verdana" w:hAnsi="Verdana"/>
          <w:sz w:val="20"/>
          <w:szCs w:val="20"/>
        </w:rPr>
        <w:t>Emerge così chiaramente</w:t>
      </w:r>
      <w:r w:rsidR="00225DF3" w:rsidRPr="00225DF3">
        <w:rPr>
          <w:rFonts w:ascii="Verdana" w:hAnsi="Verdana"/>
          <w:sz w:val="20"/>
          <w:szCs w:val="20"/>
        </w:rPr>
        <w:t xml:space="preserve"> </w:t>
      </w:r>
      <w:r w:rsidR="00BE5BC4">
        <w:rPr>
          <w:rFonts w:ascii="Verdana" w:hAnsi="Verdana"/>
          <w:sz w:val="20"/>
          <w:szCs w:val="20"/>
        </w:rPr>
        <w:t xml:space="preserve">la </w:t>
      </w:r>
      <w:r w:rsidR="00225DF3" w:rsidRPr="00225DF3">
        <w:rPr>
          <w:rFonts w:ascii="Verdana" w:hAnsi="Verdana"/>
          <w:sz w:val="20"/>
          <w:szCs w:val="20"/>
        </w:rPr>
        <w:t xml:space="preserve">differente funzione svolta dall’art. 2878, n. 7 </w:t>
      </w:r>
      <w:r w:rsidR="00BE5BC4">
        <w:rPr>
          <w:rFonts w:ascii="Verdana" w:hAnsi="Verdana"/>
          <w:sz w:val="20"/>
          <w:szCs w:val="20"/>
        </w:rPr>
        <w:t xml:space="preserve">c.c. </w:t>
      </w:r>
      <w:r w:rsidR="00225DF3" w:rsidRPr="00225DF3">
        <w:rPr>
          <w:rFonts w:ascii="Verdana" w:hAnsi="Verdana"/>
          <w:sz w:val="20"/>
          <w:szCs w:val="20"/>
        </w:rPr>
        <w:t>(e dall’art. 586 c.p.c.) rispetto al</w:t>
      </w:r>
      <w:r w:rsidRPr="00225DF3">
        <w:rPr>
          <w:rFonts w:ascii="Verdana" w:hAnsi="Verdana"/>
          <w:sz w:val="20"/>
          <w:szCs w:val="20"/>
        </w:rPr>
        <w:t>l'art. 2884 c.c. in forza del quale la cancellazione dell'ipoteca va eseguita dal conservatore “</w:t>
      </w:r>
      <w:r w:rsidRPr="00225DF3">
        <w:rPr>
          <w:rFonts w:ascii="Verdana" w:hAnsi="Verdana"/>
          <w:i/>
          <w:sz w:val="20"/>
          <w:szCs w:val="20"/>
        </w:rPr>
        <w:t>quando è ordinata con sentenza passata in giudicato</w:t>
      </w:r>
      <w:r w:rsidRPr="00225DF3">
        <w:rPr>
          <w:rFonts w:ascii="Verdana" w:hAnsi="Verdana"/>
          <w:sz w:val="20"/>
          <w:szCs w:val="20"/>
        </w:rPr>
        <w:t>" e perciò previo radicamento del necessario contraddittorio tra le parti.</w:t>
      </w:r>
    </w:p>
    <w:p w14:paraId="7E255B03" w14:textId="7F8AF358" w:rsidR="00703E69" w:rsidRPr="00781721" w:rsidRDefault="00225DF3" w:rsidP="00404AA3">
      <w:pPr>
        <w:tabs>
          <w:tab w:val="left" w:pos="567"/>
        </w:tabs>
        <w:ind w:firstLine="567"/>
        <w:jc w:val="both"/>
        <w:rPr>
          <w:rFonts w:ascii="Verdana" w:hAnsi="Verdana"/>
          <w:sz w:val="20"/>
          <w:szCs w:val="20"/>
        </w:rPr>
      </w:pPr>
      <w:r w:rsidRPr="00225DF3">
        <w:rPr>
          <w:rFonts w:ascii="Verdana" w:hAnsi="Verdana"/>
          <w:sz w:val="20"/>
          <w:szCs w:val="20"/>
        </w:rPr>
        <w:t>Resta da dire che a</w:t>
      </w:r>
      <w:r w:rsidR="00217DB7" w:rsidRPr="00225DF3">
        <w:rPr>
          <w:rFonts w:ascii="Verdana" w:hAnsi="Verdana"/>
          <w:sz w:val="20"/>
          <w:szCs w:val="20"/>
        </w:rPr>
        <w:t xml:space="preserve">nche a voler aderire – a tutto concedere – alla </w:t>
      </w:r>
      <w:r w:rsidR="00217DB7" w:rsidRPr="00225DF3">
        <w:rPr>
          <w:rFonts w:ascii="Verdana" w:hAnsi="Verdana" w:cs="Arial"/>
          <w:sz w:val="20"/>
          <w:szCs w:val="20"/>
        </w:rPr>
        <w:t>particolare interpretazione dell’</w:t>
      </w:r>
      <w:r w:rsidR="00217DB7" w:rsidRPr="00225DF3">
        <w:rPr>
          <w:rFonts w:ascii="Verdana" w:hAnsi="Verdana"/>
          <w:sz w:val="20"/>
          <w:szCs w:val="20"/>
        </w:rPr>
        <w:t>art. 2884 c.c.</w:t>
      </w:r>
      <w:r w:rsidR="00495008" w:rsidRPr="00225DF3">
        <w:rPr>
          <w:rFonts w:ascii="Verdana" w:hAnsi="Verdana" w:cs="Arial"/>
          <w:sz w:val="20"/>
          <w:szCs w:val="20"/>
        </w:rPr>
        <w:t xml:space="preserve"> </w:t>
      </w:r>
      <w:r w:rsidR="00217DB7" w:rsidRPr="00225DF3">
        <w:rPr>
          <w:rFonts w:ascii="Verdana" w:hAnsi="Verdana" w:cs="Arial"/>
          <w:sz w:val="20"/>
          <w:szCs w:val="20"/>
        </w:rPr>
        <w:t>fornita dal Tribunale di Lucca</w:t>
      </w:r>
      <w:r w:rsidR="004A24F5" w:rsidRPr="00225DF3">
        <w:rPr>
          <w:rFonts w:ascii="Verdana" w:hAnsi="Verdana" w:cs="Arial"/>
          <w:sz w:val="20"/>
          <w:szCs w:val="20"/>
        </w:rPr>
        <w:t xml:space="preserve">, </w:t>
      </w:r>
      <w:r w:rsidRPr="00225DF3">
        <w:rPr>
          <w:rFonts w:ascii="Verdana" w:hAnsi="Verdana" w:cs="Arial"/>
          <w:sz w:val="20"/>
          <w:szCs w:val="20"/>
        </w:rPr>
        <w:t xml:space="preserve">il rifiuto del conservatore </w:t>
      </w:r>
      <w:r w:rsidR="004A24F5" w:rsidRPr="00225DF3">
        <w:rPr>
          <w:rFonts w:ascii="Verdana" w:hAnsi="Verdana" w:cs="Arial"/>
          <w:sz w:val="20"/>
          <w:szCs w:val="20"/>
        </w:rPr>
        <w:t>non potrebbe mai estendersi al vincolo del pignoramento, del tutto privo di addentellato normativo</w:t>
      </w:r>
      <w:r w:rsidR="004A24F5">
        <w:rPr>
          <w:rFonts w:ascii="Verdana" w:hAnsi="Verdana" w:cs="Arial"/>
          <w:sz w:val="20"/>
          <w:szCs w:val="20"/>
        </w:rPr>
        <w:t>.</w:t>
      </w:r>
    </w:p>
    <w:p w14:paraId="5F061FDA" w14:textId="77777777" w:rsidR="00416EA4" w:rsidRDefault="00416EA4" w:rsidP="00404AA3">
      <w:pPr>
        <w:tabs>
          <w:tab w:val="left" w:pos="567"/>
          <w:tab w:val="left" w:pos="7380"/>
        </w:tabs>
        <w:ind w:firstLine="567"/>
        <w:jc w:val="both"/>
        <w:rPr>
          <w:rFonts w:ascii="Verdana" w:hAnsi="Verdana"/>
          <w:sz w:val="20"/>
          <w:szCs w:val="20"/>
        </w:rPr>
      </w:pPr>
    </w:p>
    <w:p w14:paraId="16DAA4D7" w14:textId="77777777" w:rsidR="00C77BA8" w:rsidRPr="006D1338" w:rsidRDefault="00C77BA8" w:rsidP="00404AA3">
      <w:pPr>
        <w:tabs>
          <w:tab w:val="left" w:pos="567"/>
          <w:tab w:val="left" w:pos="7380"/>
        </w:tabs>
        <w:ind w:firstLine="567"/>
        <w:jc w:val="both"/>
        <w:rPr>
          <w:rFonts w:ascii="Verdana" w:hAnsi="Verdana" w:cs="Arial"/>
          <w:b/>
          <w:sz w:val="20"/>
          <w:szCs w:val="20"/>
        </w:rPr>
      </w:pPr>
      <w:r w:rsidRPr="006D1338">
        <w:rPr>
          <w:rFonts w:ascii="Verdana" w:hAnsi="Verdana" w:cs="Arial"/>
          <w:b/>
          <w:sz w:val="20"/>
          <w:szCs w:val="20"/>
        </w:rPr>
        <w:t>OSSERVAZIONI</w:t>
      </w:r>
    </w:p>
    <w:p w14:paraId="0D897883" w14:textId="0DBEA8A1" w:rsidR="000B65A4" w:rsidRPr="00416EA4" w:rsidRDefault="00BE5BC4" w:rsidP="00404AA3">
      <w:pPr>
        <w:widowControl w:val="0"/>
        <w:tabs>
          <w:tab w:val="left" w:pos="567"/>
        </w:tabs>
        <w:autoSpaceDE w:val="0"/>
        <w:autoSpaceDN w:val="0"/>
        <w:adjustRightInd w:val="0"/>
        <w:ind w:firstLine="567"/>
        <w:jc w:val="both"/>
        <w:rPr>
          <w:rFonts w:ascii="Verdana" w:hAnsi="Verdana"/>
          <w:sz w:val="20"/>
          <w:szCs w:val="20"/>
        </w:rPr>
      </w:pPr>
      <w:r>
        <w:rPr>
          <w:rFonts w:ascii="Verdana" w:hAnsi="Verdana" w:cs="Arial"/>
          <w:sz w:val="20"/>
          <w:szCs w:val="20"/>
        </w:rPr>
        <w:t xml:space="preserve">La </w:t>
      </w:r>
      <w:r w:rsidR="00781721" w:rsidRPr="00416EA4">
        <w:rPr>
          <w:rFonts w:ascii="Verdana" w:hAnsi="Verdana" w:cs="Arial"/>
          <w:sz w:val="20"/>
          <w:szCs w:val="20"/>
        </w:rPr>
        <w:t>decisione del Tribunale</w:t>
      </w:r>
      <w:r w:rsidR="00241ABA" w:rsidRPr="00416EA4">
        <w:rPr>
          <w:rFonts w:ascii="Verdana" w:hAnsi="Verdana" w:cs="Arial"/>
          <w:sz w:val="20"/>
          <w:szCs w:val="20"/>
        </w:rPr>
        <w:t xml:space="preserve">, seppure ispirata alla migliore tutela del </w:t>
      </w:r>
      <w:r w:rsidR="00416EA4">
        <w:rPr>
          <w:rFonts w:ascii="Verdana" w:hAnsi="Verdana" w:cs="Arial"/>
          <w:sz w:val="20"/>
          <w:szCs w:val="20"/>
        </w:rPr>
        <w:t>ceto creditorio</w:t>
      </w:r>
      <w:r w:rsidR="00241ABA" w:rsidRPr="00416EA4">
        <w:rPr>
          <w:rFonts w:ascii="Verdana" w:hAnsi="Verdana" w:cs="Arial"/>
          <w:sz w:val="20"/>
          <w:szCs w:val="20"/>
        </w:rPr>
        <w:t>,</w:t>
      </w:r>
      <w:r w:rsidR="00781721" w:rsidRPr="00416EA4">
        <w:rPr>
          <w:rFonts w:ascii="Verdana" w:hAnsi="Verdana" w:cs="Arial"/>
          <w:sz w:val="20"/>
          <w:szCs w:val="20"/>
        </w:rPr>
        <w:t xml:space="preserve"> </w:t>
      </w:r>
      <w:r w:rsidR="003F03CF">
        <w:rPr>
          <w:rFonts w:ascii="Verdana" w:hAnsi="Verdana" w:cs="Arial"/>
          <w:sz w:val="20"/>
          <w:szCs w:val="20"/>
        </w:rPr>
        <w:t>lascia</w:t>
      </w:r>
      <w:r>
        <w:rPr>
          <w:rFonts w:ascii="Verdana" w:hAnsi="Verdana" w:cs="Arial"/>
          <w:sz w:val="20"/>
          <w:szCs w:val="20"/>
        </w:rPr>
        <w:t>, dunque,</w:t>
      </w:r>
      <w:r w:rsidR="003F03CF">
        <w:rPr>
          <w:rFonts w:ascii="Verdana" w:hAnsi="Verdana" w:cs="Arial"/>
          <w:sz w:val="20"/>
          <w:szCs w:val="20"/>
        </w:rPr>
        <w:t xml:space="preserve"> perplessi</w:t>
      </w:r>
      <w:r w:rsidR="00781721" w:rsidRPr="00416EA4">
        <w:rPr>
          <w:rFonts w:ascii="Verdana" w:hAnsi="Verdana" w:cs="Arial"/>
          <w:sz w:val="20"/>
          <w:szCs w:val="20"/>
        </w:rPr>
        <w:t>.</w:t>
      </w:r>
      <w:r w:rsidR="00241ABA" w:rsidRPr="00416EA4">
        <w:rPr>
          <w:rFonts w:ascii="Verdana" w:hAnsi="Verdana" w:cs="Arial"/>
          <w:sz w:val="20"/>
          <w:szCs w:val="20"/>
        </w:rPr>
        <w:t xml:space="preserve"> </w:t>
      </w:r>
      <w:r w:rsidR="00225DF3">
        <w:rPr>
          <w:rFonts w:ascii="Verdana" w:hAnsi="Verdana" w:cs="Arial"/>
          <w:sz w:val="20"/>
          <w:szCs w:val="20"/>
        </w:rPr>
        <w:t>I</w:t>
      </w:r>
      <w:r w:rsidR="00416EA4" w:rsidRPr="00416EA4">
        <w:rPr>
          <w:rFonts w:ascii="Verdana" w:hAnsi="Verdana" w:cs="Arial"/>
          <w:sz w:val="20"/>
          <w:szCs w:val="20"/>
        </w:rPr>
        <w:t>l C</w:t>
      </w:r>
      <w:r w:rsidR="000B65A4" w:rsidRPr="00416EA4">
        <w:rPr>
          <w:rFonts w:ascii="Verdana" w:hAnsi="Verdana" w:cs="Arial"/>
          <w:sz w:val="20"/>
          <w:szCs w:val="20"/>
        </w:rPr>
        <w:t xml:space="preserve">ollegio non tiene conto che </w:t>
      </w:r>
      <w:r w:rsidR="00241ABA" w:rsidRPr="00416EA4">
        <w:rPr>
          <w:rFonts w:ascii="Verdana" w:hAnsi="Verdana" w:cs="Arial"/>
          <w:sz w:val="20"/>
          <w:szCs w:val="20"/>
        </w:rPr>
        <w:t xml:space="preserve">la legge processuale prevede </w:t>
      </w:r>
      <w:r w:rsidR="00416EA4">
        <w:rPr>
          <w:rFonts w:ascii="Verdana" w:hAnsi="Verdana" w:cs="Arial"/>
          <w:sz w:val="20"/>
          <w:szCs w:val="20"/>
        </w:rPr>
        <w:t xml:space="preserve">già </w:t>
      </w:r>
      <w:r w:rsidR="000B65A4" w:rsidRPr="00416EA4">
        <w:rPr>
          <w:rFonts w:ascii="Verdana" w:hAnsi="Verdana" w:cs="Arial"/>
          <w:sz w:val="20"/>
          <w:szCs w:val="20"/>
        </w:rPr>
        <w:t>un particolare strumento</w:t>
      </w:r>
      <w:r w:rsidR="00241ABA" w:rsidRPr="00416EA4">
        <w:rPr>
          <w:rFonts w:ascii="Verdana" w:hAnsi="Verdana" w:cs="Arial"/>
          <w:sz w:val="20"/>
          <w:szCs w:val="20"/>
        </w:rPr>
        <w:t xml:space="preserve"> per evitare che </w:t>
      </w:r>
      <w:r w:rsidR="000B65A4" w:rsidRPr="00416EA4">
        <w:rPr>
          <w:rFonts w:ascii="Verdana" w:hAnsi="Verdana" w:cs="Arial"/>
          <w:sz w:val="20"/>
          <w:szCs w:val="20"/>
        </w:rPr>
        <w:t>la cancellazione dei gravami comporti il “</w:t>
      </w:r>
      <w:r w:rsidR="000B65A4" w:rsidRPr="003F03CF">
        <w:rPr>
          <w:rFonts w:ascii="Verdana" w:hAnsi="Verdana" w:cs="Arial"/>
          <w:i/>
          <w:sz w:val="20"/>
          <w:szCs w:val="20"/>
        </w:rPr>
        <w:t>sacrificio definitivo</w:t>
      </w:r>
      <w:r w:rsidR="000B65A4" w:rsidRPr="00416EA4">
        <w:rPr>
          <w:rFonts w:ascii="Verdana" w:hAnsi="Verdana" w:cs="Arial"/>
          <w:sz w:val="20"/>
          <w:szCs w:val="20"/>
        </w:rPr>
        <w:t xml:space="preserve">” del creditore ipotecario (p. 7 del </w:t>
      </w:r>
      <w:r w:rsidR="004E04E3">
        <w:rPr>
          <w:rFonts w:ascii="Verdana" w:hAnsi="Verdana" w:cs="Arial"/>
          <w:sz w:val="20"/>
          <w:szCs w:val="20"/>
        </w:rPr>
        <w:t>provved</w:t>
      </w:r>
      <w:r w:rsidR="000B65A4" w:rsidRPr="00416EA4">
        <w:rPr>
          <w:rFonts w:ascii="Verdana" w:hAnsi="Verdana" w:cs="Arial"/>
          <w:sz w:val="20"/>
          <w:szCs w:val="20"/>
        </w:rPr>
        <w:t>i</w:t>
      </w:r>
      <w:r w:rsidR="004E04E3">
        <w:rPr>
          <w:rFonts w:ascii="Verdana" w:hAnsi="Verdana" w:cs="Arial"/>
          <w:sz w:val="20"/>
          <w:szCs w:val="20"/>
        </w:rPr>
        <w:t>mento in commento</w:t>
      </w:r>
      <w:bookmarkStart w:id="0" w:name="_GoBack"/>
      <w:bookmarkEnd w:id="0"/>
      <w:r w:rsidR="000B65A4" w:rsidRPr="00416EA4">
        <w:rPr>
          <w:rFonts w:ascii="Verdana" w:hAnsi="Verdana" w:cs="Arial"/>
          <w:sz w:val="20"/>
          <w:szCs w:val="20"/>
        </w:rPr>
        <w:t xml:space="preserve">). Si tratta, in particolare, </w:t>
      </w:r>
      <w:r w:rsidR="000B65A4" w:rsidRPr="00416EA4">
        <w:rPr>
          <w:rFonts w:ascii="Verdana" w:hAnsi="Verdana"/>
          <w:sz w:val="20"/>
          <w:szCs w:val="20"/>
        </w:rPr>
        <w:t xml:space="preserve">della notificazione dell’avviso effettuata, ai sensi dell’art. 498 c.p.c., dal creditore procedente nei confronti dei creditori titolari di un diritto di prelazione (risultante da pubblici registri) sui beni pignorati, </w:t>
      </w:r>
      <w:r w:rsidR="00416EA4" w:rsidRPr="00416EA4">
        <w:rPr>
          <w:rFonts w:ascii="Verdana" w:hAnsi="Verdana"/>
          <w:sz w:val="20"/>
          <w:szCs w:val="20"/>
        </w:rPr>
        <w:t xml:space="preserve">che </w:t>
      </w:r>
      <w:r w:rsidR="000B65A4" w:rsidRPr="00416EA4">
        <w:rPr>
          <w:rFonts w:ascii="Verdana" w:hAnsi="Verdana"/>
          <w:sz w:val="20"/>
          <w:szCs w:val="20"/>
        </w:rPr>
        <w:t xml:space="preserve">costituisce una vera e propria </w:t>
      </w:r>
      <w:r w:rsidR="000B65A4" w:rsidRPr="00416EA4">
        <w:rPr>
          <w:rFonts w:ascii="Verdana" w:hAnsi="Verdana"/>
          <w:i/>
          <w:sz w:val="20"/>
          <w:szCs w:val="20"/>
        </w:rPr>
        <w:t>provocatio ad agendum</w:t>
      </w:r>
      <w:r w:rsidR="000B65A4" w:rsidRPr="00416EA4">
        <w:rPr>
          <w:rFonts w:ascii="Verdana" w:hAnsi="Verdana"/>
          <w:sz w:val="20"/>
          <w:szCs w:val="20"/>
        </w:rPr>
        <w:t xml:space="preserve">, </w:t>
      </w:r>
      <w:r w:rsidR="00416EA4">
        <w:rPr>
          <w:rFonts w:ascii="Verdana" w:hAnsi="Verdana"/>
          <w:sz w:val="20"/>
          <w:szCs w:val="20"/>
        </w:rPr>
        <w:t xml:space="preserve">tale da </w:t>
      </w:r>
      <w:r w:rsidR="000B65A4" w:rsidRPr="00416EA4">
        <w:rPr>
          <w:rFonts w:ascii="Verdana" w:hAnsi="Verdana"/>
          <w:sz w:val="20"/>
          <w:szCs w:val="20"/>
        </w:rPr>
        <w:t>condiziona</w:t>
      </w:r>
      <w:r w:rsidR="00416EA4">
        <w:rPr>
          <w:rFonts w:ascii="Verdana" w:hAnsi="Verdana"/>
          <w:sz w:val="20"/>
          <w:szCs w:val="20"/>
        </w:rPr>
        <w:t>re</w:t>
      </w:r>
      <w:r w:rsidR="000B65A4" w:rsidRPr="00416EA4">
        <w:rPr>
          <w:rFonts w:ascii="Verdana" w:hAnsi="Verdana"/>
          <w:sz w:val="20"/>
          <w:szCs w:val="20"/>
        </w:rPr>
        <w:t xml:space="preserve"> la procedibilità del</w:t>
      </w:r>
      <w:r>
        <w:rPr>
          <w:rFonts w:ascii="Verdana" w:hAnsi="Verdana"/>
          <w:sz w:val="20"/>
          <w:szCs w:val="20"/>
        </w:rPr>
        <w:t>l’espropriazione</w:t>
      </w:r>
      <w:r w:rsidR="000B65A4" w:rsidRPr="00416EA4">
        <w:rPr>
          <w:rFonts w:ascii="Verdana" w:hAnsi="Verdana"/>
          <w:sz w:val="20"/>
          <w:szCs w:val="20"/>
        </w:rPr>
        <w:t xml:space="preserve"> (Cass., 10.06.1968, n. 1827). </w:t>
      </w:r>
    </w:p>
    <w:p w14:paraId="0CBDDB0A" w14:textId="1702523D" w:rsidR="00CD14E8" w:rsidRPr="00E26284" w:rsidRDefault="000B65A4" w:rsidP="00225DF3">
      <w:pPr>
        <w:widowControl w:val="0"/>
        <w:tabs>
          <w:tab w:val="left" w:pos="567"/>
        </w:tabs>
        <w:autoSpaceDE w:val="0"/>
        <w:autoSpaceDN w:val="0"/>
        <w:adjustRightInd w:val="0"/>
        <w:ind w:firstLine="567"/>
        <w:jc w:val="both"/>
        <w:rPr>
          <w:rFonts w:ascii="Verdana" w:hAnsi="Verdana"/>
          <w:sz w:val="20"/>
          <w:szCs w:val="20"/>
        </w:rPr>
      </w:pPr>
      <w:r w:rsidRPr="00416EA4">
        <w:rPr>
          <w:rFonts w:ascii="Verdana" w:hAnsi="Verdana"/>
          <w:sz w:val="20"/>
          <w:szCs w:val="20"/>
        </w:rPr>
        <w:t>La rituale notifica dell’avviso addossa al creditore iscritto l’onere di intervenire, poiché il privilegio sui</w:t>
      </w:r>
      <w:r w:rsidRPr="00E26284">
        <w:rPr>
          <w:rFonts w:ascii="Verdana" w:hAnsi="Verdana"/>
          <w:sz w:val="20"/>
          <w:szCs w:val="20"/>
        </w:rPr>
        <w:t xml:space="preserve"> beni pignorati viene cancellato con il trasferimento della proprietà del bene a favore dell’aggiudicatario, stante l’effetto c.d. </w:t>
      </w:r>
      <w:r w:rsidRPr="00416EA4">
        <w:rPr>
          <w:rFonts w:ascii="Verdana" w:hAnsi="Verdana"/>
          <w:i/>
          <w:sz w:val="20"/>
          <w:szCs w:val="20"/>
        </w:rPr>
        <w:t>purgativo della vendita forzata</w:t>
      </w:r>
      <w:r w:rsidRPr="00E26284">
        <w:rPr>
          <w:rFonts w:ascii="Verdana" w:hAnsi="Verdana"/>
          <w:sz w:val="20"/>
          <w:szCs w:val="20"/>
        </w:rPr>
        <w:t xml:space="preserve">. </w:t>
      </w:r>
    </w:p>
    <w:p w14:paraId="67F24D90" w14:textId="7E836454" w:rsidR="00CD3B73" w:rsidRPr="00E26284" w:rsidRDefault="00CD3B73" w:rsidP="00404AA3">
      <w:pPr>
        <w:widowControl w:val="0"/>
        <w:tabs>
          <w:tab w:val="left" w:pos="567"/>
        </w:tabs>
        <w:autoSpaceDE w:val="0"/>
        <w:autoSpaceDN w:val="0"/>
        <w:adjustRightInd w:val="0"/>
        <w:ind w:firstLine="567"/>
        <w:jc w:val="both"/>
        <w:rPr>
          <w:rFonts w:ascii="Verdana" w:hAnsi="Verdana"/>
          <w:sz w:val="20"/>
          <w:szCs w:val="20"/>
        </w:rPr>
      </w:pPr>
      <w:r w:rsidRPr="00E26284">
        <w:rPr>
          <w:rFonts w:ascii="Verdana" w:hAnsi="Verdana"/>
          <w:sz w:val="20"/>
          <w:szCs w:val="20"/>
        </w:rPr>
        <w:t xml:space="preserve">Quanto alla legittimazione alla deduzione del vizio, la mancata notifica </w:t>
      </w:r>
      <w:r w:rsidR="00FC2EB2">
        <w:rPr>
          <w:rFonts w:ascii="Verdana" w:hAnsi="Verdana"/>
          <w:sz w:val="20"/>
          <w:szCs w:val="20"/>
        </w:rPr>
        <w:t xml:space="preserve">dell’art. 498 c.p.c. </w:t>
      </w:r>
      <w:r w:rsidR="008A6C07">
        <w:rPr>
          <w:rFonts w:ascii="Verdana" w:hAnsi="Verdana"/>
          <w:sz w:val="20"/>
          <w:szCs w:val="20"/>
        </w:rPr>
        <w:t>consente al</w:t>
      </w:r>
      <w:r w:rsidRPr="00E26284">
        <w:rPr>
          <w:rFonts w:ascii="Verdana" w:hAnsi="Verdana"/>
          <w:sz w:val="20"/>
          <w:szCs w:val="20"/>
        </w:rPr>
        <w:t xml:space="preserve"> creditore </w:t>
      </w:r>
      <w:r w:rsidR="00B302A2">
        <w:rPr>
          <w:rFonts w:ascii="Verdana" w:hAnsi="Verdana"/>
          <w:sz w:val="20"/>
          <w:szCs w:val="20"/>
        </w:rPr>
        <w:t xml:space="preserve">privilegiato </w:t>
      </w:r>
      <w:r w:rsidR="008A6C07">
        <w:rPr>
          <w:rFonts w:ascii="Verdana" w:hAnsi="Verdana"/>
          <w:sz w:val="20"/>
          <w:szCs w:val="20"/>
        </w:rPr>
        <w:t>di proporre</w:t>
      </w:r>
      <w:r w:rsidR="00B302A2">
        <w:rPr>
          <w:rFonts w:ascii="Verdana" w:hAnsi="Verdana"/>
          <w:sz w:val="20"/>
          <w:szCs w:val="20"/>
        </w:rPr>
        <w:t xml:space="preserve"> </w:t>
      </w:r>
      <w:r w:rsidRPr="00E26284">
        <w:rPr>
          <w:rFonts w:ascii="Verdana" w:hAnsi="Verdana"/>
          <w:sz w:val="20"/>
          <w:szCs w:val="20"/>
        </w:rPr>
        <w:t>opposizione agl</w:t>
      </w:r>
      <w:r w:rsidR="00FC2EB2">
        <w:rPr>
          <w:rFonts w:ascii="Verdana" w:hAnsi="Verdana"/>
          <w:sz w:val="20"/>
          <w:szCs w:val="20"/>
        </w:rPr>
        <w:t xml:space="preserve">i atti esecutivi </w:t>
      </w:r>
      <w:r w:rsidRPr="00E26284">
        <w:rPr>
          <w:rFonts w:ascii="Verdana" w:hAnsi="Verdana"/>
          <w:sz w:val="20"/>
          <w:szCs w:val="20"/>
        </w:rPr>
        <w:t>(Cass., 22.3.1993, n. 3379, in Giur. it., 1993, I, 2268).</w:t>
      </w:r>
      <w:r w:rsidR="00416EA4">
        <w:rPr>
          <w:rFonts w:ascii="Verdana" w:hAnsi="Verdana"/>
          <w:sz w:val="20"/>
          <w:szCs w:val="20"/>
        </w:rPr>
        <w:t xml:space="preserve"> </w:t>
      </w:r>
      <w:r w:rsidR="008A6C07">
        <w:rPr>
          <w:rFonts w:ascii="Verdana" w:hAnsi="Verdana"/>
          <w:sz w:val="20"/>
          <w:szCs w:val="20"/>
        </w:rPr>
        <w:t>Sotto altro prof</w:t>
      </w:r>
      <w:r w:rsidR="00416EA4">
        <w:rPr>
          <w:rFonts w:ascii="Verdana" w:hAnsi="Verdana"/>
          <w:sz w:val="20"/>
          <w:szCs w:val="20"/>
        </w:rPr>
        <w:t>i</w:t>
      </w:r>
      <w:r w:rsidR="008A6C07">
        <w:rPr>
          <w:rFonts w:ascii="Verdana" w:hAnsi="Verdana"/>
          <w:sz w:val="20"/>
          <w:szCs w:val="20"/>
        </w:rPr>
        <w:t>lo</w:t>
      </w:r>
      <w:r w:rsidR="00416EA4">
        <w:rPr>
          <w:rFonts w:ascii="Verdana" w:hAnsi="Verdana"/>
          <w:sz w:val="20"/>
          <w:szCs w:val="20"/>
        </w:rPr>
        <w:t xml:space="preserve">, </w:t>
      </w:r>
      <w:r w:rsidR="00FC2EB2">
        <w:rPr>
          <w:rFonts w:ascii="Verdana" w:hAnsi="Verdana"/>
          <w:sz w:val="20"/>
          <w:szCs w:val="20"/>
        </w:rPr>
        <w:t xml:space="preserve">va escluso che </w:t>
      </w:r>
      <w:r w:rsidR="00416EA4">
        <w:rPr>
          <w:rFonts w:ascii="Verdana" w:hAnsi="Verdana"/>
          <w:sz w:val="20"/>
          <w:szCs w:val="20"/>
        </w:rPr>
        <w:t xml:space="preserve">il debitore </w:t>
      </w:r>
      <w:r w:rsidR="008A6C07">
        <w:rPr>
          <w:rFonts w:ascii="Verdana" w:hAnsi="Verdana"/>
          <w:sz w:val="20"/>
          <w:szCs w:val="20"/>
        </w:rPr>
        <w:t>poss</w:t>
      </w:r>
      <w:r w:rsidR="00BE5BC4">
        <w:rPr>
          <w:rFonts w:ascii="Verdana" w:hAnsi="Verdana"/>
          <w:sz w:val="20"/>
          <w:szCs w:val="20"/>
        </w:rPr>
        <w:t>a</w:t>
      </w:r>
      <w:r w:rsidR="00FC2EB2">
        <w:rPr>
          <w:rFonts w:ascii="Verdana" w:hAnsi="Verdana"/>
          <w:sz w:val="20"/>
          <w:szCs w:val="20"/>
        </w:rPr>
        <w:t xml:space="preserve"> reagire al</w:t>
      </w:r>
      <w:r w:rsidR="00416EA4">
        <w:rPr>
          <w:rFonts w:ascii="Verdana" w:hAnsi="Verdana"/>
          <w:sz w:val="20"/>
          <w:szCs w:val="20"/>
        </w:rPr>
        <w:t xml:space="preserve">la violazione </w:t>
      </w:r>
      <w:r w:rsidR="008A6C07">
        <w:rPr>
          <w:rFonts w:ascii="Verdana" w:hAnsi="Verdana"/>
          <w:sz w:val="20"/>
          <w:szCs w:val="20"/>
        </w:rPr>
        <w:t>de</w:t>
      </w:r>
      <w:r w:rsidR="00416EA4">
        <w:rPr>
          <w:rFonts w:ascii="Verdana" w:hAnsi="Verdana"/>
          <w:sz w:val="20"/>
          <w:szCs w:val="20"/>
        </w:rPr>
        <w:t xml:space="preserve">ll’art. 498 c.p.c., trattandosi di strumento che presidia le </w:t>
      </w:r>
      <w:r w:rsidR="00BE5BC4">
        <w:rPr>
          <w:rFonts w:ascii="Verdana" w:hAnsi="Verdana"/>
          <w:sz w:val="20"/>
          <w:szCs w:val="20"/>
        </w:rPr>
        <w:t xml:space="preserve">sole </w:t>
      </w:r>
      <w:r w:rsidR="00416EA4">
        <w:rPr>
          <w:rFonts w:ascii="Verdana" w:hAnsi="Verdana"/>
          <w:sz w:val="20"/>
          <w:szCs w:val="20"/>
        </w:rPr>
        <w:t>ragioni del creditore (Cass. 24.2.1973, n. 548).</w:t>
      </w:r>
    </w:p>
    <w:p w14:paraId="6DE0E39F" w14:textId="056AEF88" w:rsidR="000B65A4" w:rsidRDefault="00CD3B73" w:rsidP="00404AA3">
      <w:pPr>
        <w:widowControl w:val="0"/>
        <w:tabs>
          <w:tab w:val="left" w:pos="567"/>
        </w:tabs>
        <w:autoSpaceDE w:val="0"/>
        <w:autoSpaceDN w:val="0"/>
        <w:adjustRightInd w:val="0"/>
        <w:ind w:firstLine="567"/>
        <w:jc w:val="both"/>
        <w:rPr>
          <w:rFonts w:ascii="Verdana" w:hAnsi="Verdana"/>
          <w:sz w:val="20"/>
          <w:szCs w:val="20"/>
        </w:rPr>
      </w:pPr>
      <w:r w:rsidRPr="00E26284">
        <w:rPr>
          <w:rFonts w:ascii="Verdana" w:hAnsi="Verdana"/>
          <w:sz w:val="20"/>
          <w:szCs w:val="20"/>
        </w:rPr>
        <w:t>Non solo. I creditori iscritti</w:t>
      </w:r>
      <w:r w:rsidR="008A6C07">
        <w:rPr>
          <w:rFonts w:ascii="Verdana" w:hAnsi="Verdana"/>
          <w:sz w:val="20"/>
          <w:szCs w:val="20"/>
        </w:rPr>
        <w:t xml:space="preserve"> </w:t>
      </w:r>
      <w:r w:rsidRPr="00E26284">
        <w:rPr>
          <w:rFonts w:ascii="Verdana" w:hAnsi="Verdana"/>
          <w:sz w:val="20"/>
          <w:szCs w:val="20"/>
        </w:rPr>
        <w:t>che — seppure avvisati —non abbiano proposto intervento sono comunque destinatari, limitatamente all’espropriazione immobiliare, della notifica dell’ordinanza di vendita.</w:t>
      </w:r>
      <w:r w:rsidR="00E26284">
        <w:rPr>
          <w:rFonts w:ascii="Verdana" w:hAnsi="Verdana"/>
          <w:sz w:val="20"/>
          <w:szCs w:val="20"/>
        </w:rPr>
        <w:t xml:space="preserve"> </w:t>
      </w:r>
      <w:r w:rsidR="00CD14E8" w:rsidRPr="00E26284">
        <w:rPr>
          <w:rFonts w:ascii="Verdana" w:hAnsi="Verdana"/>
          <w:sz w:val="20"/>
          <w:szCs w:val="20"/>
        </w:rPr>
        <w:t xml:space="preserve">Anche in questo caso, la pretermissione </w:t>
      </w:r>
      <w:r w:rsidR="005F0CC1">
        <w:rPr>
          <w:rFonts w:ascii="Verdana" w:hAnsi="Verdana"/>
          <w:sz w:val="20"/>
          <w:szCs w:val="20"/>
        </w:rPr>
        <w:t xml:space="preserve">del </w:t>
      </w:r>
      <w:r w:rsidR="005F0CC1" w:rsidRPr="00E26284">
        <w:rPr>
          <w:rFonts w:ascii="Verdana" w:hAnsi="Verdana"/>
          <w:sz w:val="20"/>
          <w:szCs w:val="20"/>
        </w:rPr>
        <w:t xml:space="preserve">creditore </w:t>
      </w:r>
      <w:r w:rsidR="00CD14E8" w:rsidRPr="00E26284">
        <w:rPr>
          <w:rFonts w:ascii="Verdana" w:hAnsi="Verdana"/>
          <w:sz w:val="20"/>
          <w:szCs w:val="20"/>
        </w:rPr>
        <w:t xml:space="preserve">può essere </w:t>
      </w:r>
      <w:r w:rsidR="005F0CC1">
        <w:rPr>
          <w:rFonts w:ascii="Verdana" w:hAnsi="Verdana"/>
          <w:sz w:val="20"/>
          <w:szCs w:val="20"/>
        </w:rPr>
        <w:t>dedotta</w:t>
      </w:r>
      <w:r w:rsidR="00CD14E8" w:rsidRPr="00E26284">
        <w:rPr>
          <w:rFonts w:ascii="Verdana" w:hAnsi="Verdana"/>
          <w:sz w:val="20"/>
          <w:szCs w:val="20"/>
        </w:rPr>
        <w:t xml:space="preserve"> con l’opposizione agli atti esecutivi, il cui termine </w:t>
      </w:r>
      <w:r w:rsidR="008A6C07">
        <w:rPr>
          <w:rFonts w:ascii="Verdana" w:hAnsi="Verdana"/>
          <w:sz w:val="20"/>
          <w:szCs w:val="20"/>
        </w:rPr>
        <w:t xml:space="preserve">decorre </w:t>
      </w:r>
      <w:r w:rsidR="00CD14E8" w:rsidRPr="00E26284">
        <w:rPr>
          <w:rFonts w:ascii="Verdana" w:hAnsi="Verdana"/>
          <w:sz w:val="20"/>
          <w:szCs w:val="20"/>
        </w:rPr>
        <w:t>dalla conoscenza del primo degli atti compiuti senza il rispetto della norma che imponeva la convocazione; in nessun caso tale opposizione può inficiare la vendita eventualmente già avvenuta, solo residuando, la responsabilità del creditore procedente, ai sensi dell’art. 2043 c.c.</w:t>
      </w:r>
      <w:r w:rsidRPr="00E26284">
        <w:rPr>
          <w:rFonts w:ascii="Verdana" w:hAnsi="Verdana"/>
          <w:sz w:val="20"/>
          <w:szCs w:val="20"/>
        </w:rPr>
        <w:t xml:space="preserve">  (Cass., 23.02.2006, n. 4000, in Riv. es. forz., 2006, 422).</w:t>
      </w:r>
    </w:p>
    <w:p w14:paraId="3AF5B7CC" w14:textId="388A1A9B" w:rsidR="00580DAB" w:rsidRDefault="00B302A2" w:rsidP="00404AA3">
      <w:pPr>
        <w:widowControl w:val="0"/>
        <w:tabs>
          <w:tab w:val="left" w:pos="567"/>
        </w:tabs>
        <w:autoSpaceDE w:val="0"/>
        <w:autoSpaceDN w:val="0"/>
        <w:adjustRightInd w:val="0"/>
        <w:ind w:firstLine="567"/>
        <w:jc w:val="both"/>
        <w:rPr>
          <w:rFonts w:ascii="Verdana" w:hAnsi="Verdana"/>
          <w:sz w:val="20"/>
          <w:szCs w:val="20"/>
        </w:rPr>
      </w:pPr>
      <w:r>
        <w:rPr>
          <w:rFonts w:ascii="Verdana" w:hAnsi="Verdana"/>
          <w:sz w:val="20"/>
          <w:szCs w:val="20"/>
        </w:rPr>
        <w:t>Ma vi è di più. A</w:t>
      </w:r>
      <w:r w:rsidR="000662CB">
        <w:rPr>
          <w:rFonts w:ascii="Verdana" w:hAnsi="Verdana"/>
          <w:sz w:val="20"/>
          <w:szCs w:val="20"/>
        </w:rPr>
        <w:t>l</w:t>
      </w:r>
      <w:r w:rsidR="00CD3B73" w:rsidRPr="00E26284">
        <w:rPr>
          <w:rFonts w:ascii="Verdana" w:hAnsi="Verdana"/>
          <w:sz w:val="20"/>
          <w:szCs w:val="20"/>
        </w:rPr>
        <w:t>l</w:t>
      </w:r>
      <w:r w:rsidR="000662CB">
        <w:rPr>
          <w:rFonts w:ascii="Verdana" w:hAnsi="Verdana"/>
          <w:sz w:val="20"/>
          <w:szCs w:val="20"/>
        </w:rPr>
        <w:t>’incisiva</w:t>
      </w:r>
      <w:r w:rsidR="00CD3B73" w:rsidRPr="00E26284">
        <w:rPr>
          <w:rFonts w:ascii="Verdana" w:hAnsi="Verdana"/>
          <w:sz w:val="20"/>
          <w:szCs w:val="20"/>
        </w:rPr>
        <w:t xml:space="preserve"> tutela riconosciuta dalla legge processuale ai creditori </w:t>
      </w:r>
      <w:r w:rsidR="00FC2EB2">
        <w:rPr>
          <w:rFonts w:ascii="Verdana" w:hAnsi="Verdana"/>
          <w:sz w:val="20"/>
          <w:szCs w:val="20"/>
        </w:rPr>
        <w:t>privilegiati</w:t>
      </w:r>
      <w:r w:rsidR="00CD3B73" w:rsidRPr="00E26284">
        <w:rPr>
          <w:rFonts w:ascii="Verdana" w:hAnsi="Verdana"/>
          <w:sz w:val="20"/>
          <w:szCs w:val="20"/>
        </w:rPr>
        <w:t xml:space="preserve"> si affianca</w:t>
      </w:r>
      <w:r w:rsidR="00E26284" w:rsidRPr="00E26284">
        <w:rPr>
          <w:rFonts w:ascii="Verdana" w:hAnsi="Verdana"/>
          <w:sz w:val="20"/>
          <w:szCs w:val="20"/>
        </w:rPr>
        <w:t>, inoltre,</w:t>
      </w:r>
      <w:r w:rsidR="00CD3B73" w:rsidRPr="00E26284">
        <w:rPr>
          <w:rFonts w:ascii="Verdana" w:hAnsi="Verdana"/>
          <w:sz w:val="20"/>
          <w:szCs w:val="20"/>
        </w:rPr>
        <w:t xml:space="preserve"> il duplice sistema di controlli </w:t>
      </w:r>
      <w:r>
        <w:rPr>
          <w:rFonts w:ascii="Verdana" w:hAnsi="Verdana"/>
          <w:sz w:val="20"/>
          <w:szCs w:val="20"/>
        </w:rPr>
        <w:t>di cui a</w:t>
      </w:r>
      <w:r w:rsidR="00CD3B73" w:rsidRPr="00E26284">
        <w:rPr>
          <w:rFonts w:ascii="Verdana" w:hAnsi="Verdana"/>
          <w:sz w:val="20"/>
          <w:szCs w:val="20"/>
        </w:rPr>
        <w:t xml:space="preserve">gli artt. 617 e 591 </w:t>
      </w:r>
      <w:r w:rsidR="00CD3B73" w:rsidRPr="00E26284">
        <w:rPr>
          <w:rFonts w:ascii="Verdana" w:hAnsi="Verdana"/>
          <w:i/>
          <w:sz w:val="20"/>
          <w:szCs w:val="20"/>
        </w:rPr>
        <w:t xml:space="preserve">ter </w:t>
      </w:r>
      <w:r w:rsidR="00CD3B73" w:rsidRPr="00E26284">
        <w:rPr>
          <w:rFonts w:ascii="Verdana" w:hAnsi="Verdana"/>
          <w:sz w:val="20"/>
          <w:szCs w:val="20"/>
        </w:rPr>
        <w:t>c.p.c.</w:t>
      </w:r>
      <w:r w:rsidR="00E26284" w:rsidRPr="00E26284">
        <w:rPr>
          <w:rFonts w:ascii="Verdana" w:hAnsi="Verdana"/>
          <w:sz w:val="20"/>
          <w:szCs w:val="20"/>
        </w:rPr>
        <w:t xml:space="preserve"> </w:t>
      </w:r>
      <w:r w:rsidR="00E26284">
        <w:rPr>
          <w:rFonts w:ascii="Verdana" w:hAnsi="Verdana"/>
          <w:sz w:val="20"/>
          <w:szCs w:val="20"/>
        </w:rPr>
        <w:t>(</w:t>
      </w:r>
      <w:r w:rsidR="00E26284" w:rsidRPr="00E26284">
        <w:rPr>
          <w:rFonts w:ascii="Verdana" w:hAnsi="Verdana"/>
          <w:sz w:val="20"/>
          <w:szCs w:val="20"/>
        </w:rPr>
        <w:t>quest’ultimo operante nell’ipotesi di espropriazione delegata</w:t>
      </w:r>
      <w:r w:rsidR="00E26284">
        <w:rPr>
          <w:rFonts w:ascii="Verdana" w:hAnsi="Verdana"/>
          <w:sz w:val="20"/>
          <w:szCs w:val="20"/>
        </w:rPr>
        <w:t>)</w:t>
      </w:r>
      <w:r w:rsidR="00E26284" w:rsidRPr="00E26284">
        <w:rPr>
          <w:rFonts w:ascii="Verdana" w:hAnsi="Verdana"/>
          <w:sz w:val="20"/>
          <w:szCs w:val="20"/>
        </w:rPr>
        <w:t>.</w:t>
      </w:r>
      <w:r w:rsidR="00204C3E" w:rsidRPr="00E26284">
        <w:rPr>
          <w:rFonts w:ascii="Verdana" w:hAnsi="Verdana"/>
          <w:sz w:val="20"/>
          <w:szCs w:val="20"/>
        </w:rPr>
        <w:t xml:space="preserve"> </w:t>
      </w:r>
      <w:r w:rsidR="009D40DE">
        <w:rPr>
          <w:rFonts w:ascii="Verdana" w:hAnsi="Verdana"/>
          <w:sz w:val="20"/>
          <w:szCs w:val="20"/>
        </w:rPr>
        <w:t xml:space="preserve">Se è vero, dunque, che solo il giudice dell’esecuzione può </w:t>
      </w:r>
      <w:r w:rsidR="00217DB7">
        <w:rPr>
          <w:rFonts w:ascii="Verdana" w:hAnsi="Verdana"/>
          <w:sz w:val="20"/>
          <w:szCs w:val="20"/>
        </w:rPr>
        <w:t xml:space="preserve">sospendere </w:t>
      </w:r>
      <w:r w:rsidR="00217DB7">
        <w:rPr>
          <w:rFonts w:ascii="Verdana" w:hAnsi="Verdana"/>
          <w:i/>
          <w:sz w:val="20"/>
          <w:szCs w:val="20"/>
        </w:rPr>
        <w:t xml:space="preserve">ex </w:t>
      </w:r>
      <w:r w:rsidR="00217DB7">
        <w:rPr>
          <w:rFonts w:ascii="Verdana" w:hAnsi="Verdana"/>
          <w:sz w:val="20"/>
          <w:szCs w:val="20"/>
        </w:rPr>
        <w:t xml:space="preserve">art. 618 c.p.c. ovvero </w:t>
      </w:r>
      <w:r w:rsidR="009D40DE">
        <w:rPr>
          <w:rFonts w:ascii="Verdana" w:hAnsi="Verdana"/>
          <w:sz w:val="20"/>
          <w:szCs w:val="20"/>
        </w:rPr>
        <w:t xml:space="preserve">modificare o revocare </w:t>
      </w:r>
      <w:r w:rsidR="00217DB7">
        <w:rPr>
          <w:rFonts w:ascii="Verdana" w:hAnsi="Verdana"/>
          <w:sz w:val="20"/>
          <w:szCs w:val="20"/>
        </w:rPr>
        <w:t>i propri provvedimenti</w:t>
      </w:r>
      <w:r w:rsidR="009D40DE">
        <w:rPr>
          <w:rFonts w:ascii="Verdana" w:hAnsi="Verdana"/>
          <w:sz w:val="20"/>
          <w:szCs w:val="20"/>
        </w:rPr>
        <w:t>,</w:t>
      </w:r>
      <w:r w:rsidR="00217DB7">
        <w:rPr>
          <w:rFonts w:ascii="Verdana" w:hAnsi="Verdana"/>
          <w:sz w:val="20"/>
          <w:szCs w:val="20"/>
        </w:rPr>
        <w:t xml:space="preserve"> </w:t>
      </w:r>
      <w:r w:rsidR="00217DB7">
        <w:rPr>
          <w:rFonts w:ascii="Verdana" w:hAnsi="Verdana"/>
          <w:i/>
          <w:sz w:val="20"/>
          <w:szCs w:val="20"/>
        </w:rPr>
        <w:t xml:space="preserve">ex </w:t>
      </w:r>
      <w:r w:rsidR="00217DB7">
        <w:rPr>
          <w:rFonts w:ascii="Verdana" w:hAnsi="Verdana"/>
          <w:sz w:val="20"/>
          <w:szCs w:val="20"/>
        </w:rPr>
        <w:t>art. 487 c.p.c.,</w:t>
      </w:r>
      <w:r w:rsidR="009D40DE">
        <w:rPr>
          <w:rFonts w:ascii="Verdana" w:hAnsi="Verdana"/>
          <w:sz w:val="20"/>
          <w:szCs w:val="20"/>
        </w:rPr>
        <w:t xml:space="preserve"> </w:t>
      </w:r>
      <w:r>
        <w:rPr>
          <w:rFonts w:ascii="Verdana" w:hAnsi="Verdana"/>
          <w:sz w:val="20"/>
          <w:szCs w:val="20"/>
        </w:rPr>
        <w:t>è incontestabile che il c</w:t>
      </w:r>
      <w:r w:rsidR="009D40DE">
        <w:rPr>
          <w:rFonts w:ascii="Verdana" w:hAnsi="Verdana"/>
          <w:sz w:val="20"/>
          <w:szCs w:val="20"/>
        </w:rPr>
        <w:t>onserv</w:t>
      </w:r>
      <w:r w:rsidR="00217DB7">
        <w:rPr>
          <w:rFonts w:ascii="Verdana" w:hAnsi="Verdana"/>
          <w:sz w:val="20"/>
          <w:szCs w:val="20"/>
        </w:rPr>
        <w:t xml:space="preserve">atore </w:t>
      </w:r>
      <w:r>
        <w:rPr>
          <w:rFonts w:ascii="Verdana" w:hAnsi="Verdana"/>
          <w:sz w:val="20"/>
          <w:szCs w:val="20"/>
        </w:rPr>
        <w:t>deve</w:t>
      </w:r>
      <w:r w:rsidR="00217DB7">
        <w:rPr>
          <w:rFonts w:ascii="Verdana" w:hAnsi="Verdana"/>
          <w:sz w:val="20"/>
          <w:szCs w:val="20"/>
        </w:rPr>
        <w:t xml:space="preserve"> ottemperare </w:t>
      </w:r>
      <w:r w:rsidR="00204C3E" w:rsidRPr="00E26284">
        <w:rPr>
          <w:rFonts w:ascii="Verdana" w:hAnsi="Verdana"/>
          <w:sz w:val="20"/>
          <w:szCs w:val="20"/>
        </w:rPr>
        <w:t xml:space="preserve">l’ordine di cancellazione, </w:t>
      </w:r>
      <w:r w:rsidR="00217DB7">
        <w:rPr>
          <w:rFonts w:ascii="Verdana" w:hAnsi="Verdana"/>
          <w:sz w:val="20"/>
          <w:szCs w:val="20"/>
        </w:rPr>
        <w:t xml:space="preserve">anche </w:t>
      </w:r>
      <w:r w:rsidR="006C2DDC">
        <w:rPr>
          <w:rFonts w:ascii="Verdana" w:hAnsi="Verdana"/>
          <w:sz w:val="20"/>
          <w:szCs w:val="20"/>
        </w:rPr>
        <w:t>in pendenza</w:t>
      </w:r>
      <w:r w:rsidR="00204C3E" w:rsidRPr="00E26284">
        <w:rPr>
          <w:rFonts w:ascii="Verdana" w:hAnsi="Verdana"/>
          <w:sz w:val="20"/>
          <w:szCs w:val="20"/>
        </w:rPr>
        <w:t xml:space="preserve"> de</w:t>
      </w:r>
      <w:r w:rsidR="00E26284" w:rsidRPr="00E26284">
        <w:rPr>
          <w:rFonts w:ascii="Verdana" w:hAnsi="Verdana"/>
          <w:sz w:val="20"/>
          <w:szCs w:val="20"/>
        </w:rPr>
        <w:t xml:space="preserve">ll’opposizione </w:t>
      </w:r>
      <w:r w:rsidR="00E26284" w:rsidRPr="00E26284">
        <w:rPr>
          <w:rFonts w:ascii="Verdana" w:hAnsi="Verdana"/>
          <w:i/>
          <w:sz w:val="20"/>
          <w:szCs w:val="20"/>
        </w:rPr>
        <w:t xml:space="preserve">ex </w:t>
      </w:r>
      <w:r w:rsidR="00E26284" w:rsidRPr="00E26284">
        <w:rPr>
          <w:rFonts w:ascii="Verdana" w:hAnsi="Verdana"/>
          <w:sz w:val="20"/>
          <w:szCs w:val="20"/>
        </w:rPr>
        <w:t>art. 617 c.p.c. contro il decreto</w:t>
      </w:r>
      <w:r w:rsidR="00217DB7">
        <w:rPr>
          <w:rFonts w:ascii="Verdana" w:hAnsi="Verdana"/>
          <w:sz w:val="20"/>
          <w:szCs w:val="20"/>
        </w:rPr>
        <w:t xml:space="preserve"> di trasferimento</w:t>
      </w:r>
      <w:r w:rsidR="005F0CC1">
        <w:rPr>
          <w:rFonts w:ascii="Verdana" w:hAnsi="Verdana"/>
          <w:sz w:val="20"/>
          <w:szCs w:val="20"/>
        </w:rPr>
        <w:t xml:space="preserve"> ogni volta che</w:t>
      </w:r>
      <w:r w:rsidR="00E26284" w:rsidRPr="00E26284">
        <w:rPr>
          <w:rFonts w:ascii="Verdana" w:hAnsi="Verdana"/>
          <w:sz w:val="20"/>
          <w:szCs w:val="20"/>
        </w:rPr>
        <w:t xml:space="preserve"> il g.e. </w:t>
      </w:r>
      <w:r>
        <w:rPr>
          <w:rFonts w:ascii="Verdana" w:hAnsi="Verdana"/>
          <w:sz w:val="20"/>
          <w:szCs w:val="20"/>
        </w:rPr>
        <w:t xml:space="preserve">ha </w:t>
      </w:r>
      <w:r w:rsidR="00E26284">
        <w:rPr>
          <w:rFonts w:ascii="Verdana" w:hAnsi="Verdana"/>
          <w:sz w:val="20"/>
          <w:szCs w:val="20"/>
        </w:rPr>
        <w:t xml:space="preserve">ritenuto </w:t>
      </w:r>
      <w:r w:rsidR="00E26284" w:rsidRPr="00E26284">
        <w:rPr>
          <w:rFonts w:ascii="Verdana" w:hAnsi="Verdana"/>
          <w:sz w:val="20"/>
          <w:szCs w:val="20"/>
        </w:rPr>
        <w:t>i motivi di opposizione destituiti di fondamento</w:t>
      </w:r>
      <w:r w:rsidR="009D40DE">
        <w:rPr>
          <w:rFonts w:ascii="Verdana" w:hAnsi="Verdana"/>
          <w:sz w:val="20"/>
          <w:szCs w:val="20"/>
        </w:rPr>
        <w:t xml:space="preserve"> e, conseguentemente, rigettato l’istanza</w:t>
      </w:r>
      <w:r w:rsidR="00E26284" w:rsidRPr="00E26284">
        <w:rPr>
          <w:rFonts w:ascii="Verdana" w:hAnsi="Verdana"/>
          <w:sz w:val="20"/>
          <w:szCs w:val="20"/>
        </w:rPr>
        <w:t xml:space="preserve"> di sospensione</w:t>
      </w:r>
      <w:r w:rsidR="00217DB7">
        <w:rPr>
          <w:rFonts w:ascii="Verdana" w:hAnsi="Verdana"/>
          <w:sz w:val="20"/>
          <w:szCs w:val="20"/>
        </w:rPr>
        <w:t>.</w:t>
      </w:r>
      <w:r w:rsidR="00E26284" w:rsidRPr="00E26284">
        <w:rPr>
          <w:rFonts w:ascii="Verdana" w:hAnsi="Verdana"/>
          <w:sz w:val="20"/>
          <w:szCs w:val="20"/>
        </w:rPr>
        <w:t xml:space="preserve"> </w:t>
      </w:r>
    </w:p>
    <w:p w14:paraId="4A23979A" w14:textId="46ECB515" w:rsidR="009D40DE" w:rsidRDefault="00B302A2" w:rsidP="00404AA3">
      <w:pPr>
        <w:widowControl w:val="0"/>
        <w:tabs>
          <w:tab w:val="left" w:pos="567"/>
        </w:tabs>
        <w:autoSpaceDE w:val="0"/>
        <w:autoSpaceDN w:val="0"/>
        <w:adjustRightInd w:val="0"/>
        <w:ind w:firstLine="567"/>
        <w:jc w:val="both"/>
        <w:rPr>
          <w:rFonts w:ascii="Verdana" w:hAnsi="Verdana"/>
          <w:sz w:val="20"/>
          <w:szCs w:val="20"/>
        </w:rPr>
      </w:pPr>
      <w:r>
        <w:rPr>
          <w:rFonts w:ascii="Verdana" w:hAnsi="Verdana"/>
          <w:sz w:val="20"/>
          <w:szCs w:val="20"/>
        </w:rPr>
        <w:t>In altre parole,</w:t>
      </w:r>
      <w:r w:rsidR="002A0FD3">
        <w:rPr>
          <w:rFonts w:ascii="Verdana" w:hAnsi="Verdana"/>
          <w:sz w:val="20"/>
          <w:szCs w:val="20"/>
        </w:rPr>
        <w:t xml:space="preserve"> il conservatore </w:t>
      </w:r>
      <w:r>
        <w:rPr>
          <w:rFonts w:ascii="Verdana" w:hAnsi="Verdana"/>
          <w:sz w:val="20"/>
          <w:szCs w:val="20"/>
        </w:rPr>
        <w:t>non può</w:t>
      </w:r>
      <w:r w:rsidR="002A0FD3">
        <w:rPr>
          <w:rFonts w:ascii="Verdana" w:hAnsi="Verdana"/>
          <w:sz w:val="20"/>
          <w:szCs w:val="20"/>
        </w:rPr>
        <w:t xml:space="preserve"> </w:t>
      </w:r>
      <w:r w:rsidR="00217DB7">
        <w:rPr>
          <w:rFonts w:ascii="Verdana" w:hAnsi="Verdana"/>
          <w:sz w:val="20"/>
          <w:szCs w:val="20"/>
        </w:rPr>
        <w:t>rifiutare la cancellazione</w:t>
      </w:r>
      <w:r>
        <w:rPr>
          <w:rFonts w:ascii="Verdana" w:hAnsi="Verdana"/>
          <w:sz w:val="20"/>
          <w:szCs w:val="20"/>
        </w:rPr>
        <w:t>,</w:t>
      </w:r>
      <w:r w:rsidR="00217DB7">
        <w:rPr>
          <w:rFonts w:ascii="Verdana" w:hAnsi="Verdana"/>
          <w:sz w:val="20"/>
          <w:szCs w:val="20"/>
        </w:rPr>
        <w:t xml:space="preserve"> essendogli precluso </w:t>
      </w:r>
      <w:r w:rsidR="002A0FD3">
        <w:rPr>
          <w:rFonts w:ascii="Verdana" w:hAnsi="Verdana"/>
          <w:sz w:val="20"/>
          <w:szCs w:val="20"/>
        </w:rPr>
        <w:t xml:space="preserve">interferire con la valutazione operata dal giudice sui motivi di opposizione </w:t>
      </w:r>
      <w:r w:rsidR="009D40DE">
        <w:rPr>
          <w:rFonts w:ascii="Verdana" w:hAnsi="Verdana"/>
          <w:sz w:val="20"/>
          <w:szCs w:val="20"/>
        </w:rPr>
        <w:t>e</w:t>
      </w:r>
      <w:r w:rsidR="00217DB7">
        <w:rPr>
          <w:rFonts w:ascii="Verdana" w:hAnsi="Verdana"/>
          <w:sz w:val="20"/>
          <w:szCs w:val="20"/>
        </w:rPr>
        <w:t>, pertanto,</w:t>
      </w:r>
      <w:r w:rsidR="009D40DE">
        <w:rPr>
          <w:rFonts w:ascii="Verdana" w:hAnsi="Verdana"/>
          <w:sz w:val="20"/>
          <w:szCs w:val="20"/>
        </w:rPr>
        <w:t xml:space="preserve"> sulla</w:t>
      </w:r>
      <w:r w:rsidR="002A0FD3">
        <w:rPr>
          <w:rFonts w:ascii="Verdana" w:hAnsi="Verdana"/>
          <w:sz w:val="20"/>
          <w:szCs w:val="20"/>
        </w:rPr>
        <w:t xml:space="preserve"> stabilità dell’espropriazione. </w:t>
      </w:r>
    </w:p>
    <w:p w14:paraId="49DD2C34" w14:textId="20BBF9BC" w:rsidR="005F0CC1" w:rsidRPr="00E26284" w:rsidRDefault="006C2DDC" w:rsidP="005F0CC1">
      <w:pPr>
        <w:widowControl w:val="0"/>
        <w:tabs>
          <w:tab w:val="left" w:pos="567"/>
        </w:tabs>
        <w:autoSpaceDE w:val="0"/>
        <w:autoSpaceDN w:val="0"/>
        <w:adjustRightInd w:val="0"/>
        <w:ind w:firstLine="567"/>
        <w:jc w:val="both"/>
        <w:rPr>
          <w:rFonts w:ascii="Verdana" w:hAnsi="Verdana"/>
          <w:sz w:val="20"/>
          <w:szCs w:val="20"/>
        </w:rPr>
      </w:pPr>
      <w:r>
        <w:rPr>
          <w:rFonts w:ascii="Verdana" w:hAnsi="Verdana"/>
          <w:sz w:val="20"/>
          <w:szCs w:val="20"/>
        </w:rPr>
        <w:t>La migliore conferma che</w:t>
      </w:r>
      <w:r w:rsidR="00792ECC">
        <w:rPr>
          <w:rFonts w:ascii="Verdana" w:hAnsi="Verdana"/>
          <w:sz w:val="20"/>
          <w:szCs w:val="20"/>
        </w:rPr>
        <w:t>, nel caso di specie,</w:t>
      </w:r>
      <w:r>
        <w:rPr>
          <w:rFonts w:ascii="Verdana" w:hAnsi="Verdana"/>
          <w:sz w:val="20"/>
          <w:szCs w:val="20"/>
        </w:rPr>
        <w:t xml:space="preserve"> </w:t>
      </w:r>
      <w:r w:rsidR="001B5CD4">
        <w:rPr>
          <w:rFonts w:ascii="Verdana" w:hAnsi="Verdana"/>
          <w:sz w:val="20"/>
          <w:szCs w:val="20"/>
        </w:rPr>
        <w:t>il rifiuto di</w:t>
      </w:r>
      <w:r>
        <w:rPr>
          <w:rFonts w:ascii="Verdana" w:hAnsi="Verdana"/>
          <w:sz w:val="20"/>
          <w:szCs w:val="20"/>
        </w:rPr>
        <w:t xml:space="preserve"> cancellazione </w:t>
      </w:r>
      <w:r w:rsidR="00792ECC">
        <w:rPr>
          <w:rFonts w:ascii="Verdana" w:hAnsi="Verdana"/>
          <w:sz w:val="20"/>
          <w:szCs w:val="20"/>
        </w:rPr>
        <w:t xml:space="preserve">non sia funzionale alla </w:t>
      </w:r>
      <w:r w:rsidR="000662CB">
        <w:rPr>
          <w:rFonts w:ascii="Verdana" w:hAnsi="Verdana"/>
          <w:sz w:val="20"/>
          <w:szCs w:val="20"/>
        </w:rPr>
        <w:t xml:space="preserve">effettiva tutela del ceto creditorio, </w:t>
      </w:r>
      <w:r w:rsidR="00792ECC">
        <w:rPr>
          <w:rFonts w:ascii="Verdana" w:hAnsi="Verdana"/>
          <w:sz w:val="20"/>
          <w:szCs w:val="20"/>
        </w:rPr>
        <w:t xml:space="preserve">come si assume nel </w:t>
      </w:r>
      <w:r w:rsidR="000662CB">
        <w:rPr>
          <w:rFonts w:ascii="Verdana" w:hAnsi="Verdana"/>
          <w:sz w:val="20"/>
          <w:szCs w:val="20"/>
        </w:rPr>
        <w:t>decreto che si annota</w:t>
      </w:r>
      <w:r w:rsidR="00792ECC">
        <w:rPr>
          <w:rFonts w:ascii="Verdana" w:hAnsi="Verdana"/>
          <w:sz w:val="20"/>
          <w:szCs w:val="20"/>
        </w:rPr>
        <w:t>, è fornita dalla circostanza che solo i comproprietari terzi datori di ipoteca hanno aderito alle conclusioni del Conservatore, mentre i creditori ipotecari non hanno esplicato alcuna attività difensiva.</w:t>
      </w:r>
      <w:r w:rsidR="005F0CC1" w:rsidRPr="005F0CC1">
        <w:rPr>
          <w:rFonts w:ascii="Verdana" w:hAnsi="Verdana"/>
          <w:sz w:val="20"/>
          <w:szCs w:val="20"/>
        </w:rPr>
        <w:t xml:space="preserve"> </w:t>
      </w:r>
    </w:p>
    <w:p w14:paraId="5DC0750A" w14:textId="77777777" w:rsidR="00B302A2" w:rsidRDefault="000662CB" w:rsidP="00404AA3">
      <w:pPr>
        <w:widowControl w:val="0"/>
        <w:tabs>
          <w:tab w:val="left" w:pos="567"/>
        </w:tabs>
        <w:autoSpaceDE w:val="0"/>
        <w:autoSpaceDN w:val="0"/>
        <w:adjustRightInd w:val="0"/>
        <w:ind w:firstLine="567"/>
        <w:jc w:val="both"/>
        <w:rPr>
          <w:rFonts w:ascii="Verdana" w:hAnsi="Verdana"/>
          <w:sz w:val="20"/>
          <w:szCs w:val="20"/>
        </w:rPr>
      </w:pPr>
      <w:r>
        <w:rPr>
          <w:rFonts w:ascii="Verdana" w:hAnsi="Verdana"/>
          <w:sz w:val="20"/>
          <w:szCs w:val="20"/>
        </w:rPr>
        <w:t>Sullo sfondo rimane</w:t>
      </w:r>
      <w:r w:rsidR="00822544">
        <w:rPr>
          <w:rFonts w:ascii="Verdana" w:hAnsi="Verdana"/>
          <w:sz w:val="20"/>
          <w:szCs w:val="20"/>
        </w:rPr>
        <w:t>, dunque,</w:t>
      </w:r>
      <w:r>
        <w:rPr>
          <w:rFonts w:ascii="Verdana" w:hAnsi="Verdana"/>
          <w:sz w:val="20"/>
          <w:szCs w:val="20"/>
        </w:rPr>
        <w:t xml:space="preserve"> la considerazione che la pronuncia, ben lungi dal tutelare i creditori, tend</w:t>
      </w:r>
      <w:r w:rsidR="00822544">
        <w:rPr>
          <w:rFonts w:ascii="Verdana" w:hAnsi="Verdana"/>
          <w:sz w:val="20"/>
          <w:szCs w:val="20"/>
        </w:rPr>
        <w:t>a</w:t>
      </w:r>
      <w:r>
        <w:rPr>
          <w:rFonts w:ascii="Verdana" w:hAnsi="Verdana"/>
          <w:sz w:val="20"/>
          <w:szCs w:val="20"/>
        </w:rPr>
        <w:t xml:space="preserve"> per un verso ad evitare che l’acquirente possa disporre </w:t>
      </w:r>
      <w:r w:rsidR="00822544">
        <w:rPr>
          <w:rFonts w:ascii="Verdana" w:hAnsi="Verdana"/>
          <w:sz w:val="20"/>
          <w:szCs w:val="20"/>
        </w:rPr>
        <w:t xml:space="preserve">subito </w:t>
      </w:r>
      <w:r>
        <w:rPr>
          <w:rFonts w:ascii="Verdana" w:hAnsi="Verdana"/>
          <w:sz w:val="20"/>
          <w:szCs w:val="20"/>
        </w:rPr>
        <w:t>del bene</w:t>
      </w:r>
      <w:r w:rsidR="00822544">
        <w:rPr>
          <w:rFonts w:ascii="Verdana" w:hAnsi="Verdana"/>
          <w:sz w:val="20"/>
          <w:szCs w:val="20"/>
        </w:rPr>
        <w:t>,</w:t>
      </w:r>
      <w:r>
        <w:rPr>
          <w:rFonts w:ascii="Verdana" w:hAnsi="Verdana"/>
          <w:sz w:val="20"/>
          <w:szCs w:val="20"/>
        </w:rPr>
        <w:t xml:space="preserve"> allontana</w:t>
      </w:r>
      <w:r w:rsidR="00822544">
        <w:rPr>
          <w:rFonts w:ascii="Verdana" w:hAnsi="Verdana"/>
          <w:sz w:val="20"/>
          <w:szCs w:val="20"/>
        </w:rPr>
        <w:t>ndo</w:t>
      </w:r>
      <w:r>
        <w:rPr>
          <w:rFonts w:ascii="Verdana" w:hAnsi="Verdana"/>
          <w:sz w:val="20"/>
          <w:szCs w:val="20"/>
        </w:rPr>
        <w:t xml:space="preserve"> i soggetti interessati dalle vendite forzate, </w:t>
      </w:r>
      <w:r w:rsidR="00822544">
        <w:rPr>
          <w:rFonts w:ascii="Verdana" w:hAnsi="Verdana"/>
          <w:sz w:val="20"/>
          <w:szCs w:val="20"/>
        </w:rPr>
        <w:t xml:space="preserve">e </w:t>
      </w:r>
      <w:r>
        <w:rPr>
          <w:rFonts w:ascii="Verdana" w:hAnsi="Verdana"/>
          <w:sz w:val="20"/>
          <w:szCs w:val="20"/>
        </w:rPr>
        <w:t xml:space="preserve">per altro verso </w:t>
      </w:r>
      <w:r w:rsidR="00822544">
        <w:rPr>
          <w:rFonts w:ascii="Verdana" w:hAnsi="Verdana"/>
          <w:sz w:val="20"/>
          <w:szCs w:val="20"/>
        </w:rPr>
        <w:t>ad in</w:t>
      </w:r>
      <w:r w:rsidR="00395A66">
        <w:rPr>
          <w:rFonts w:ascii="Verdana" w:hAnsi="Verdana"/>
          <w:sz w:val="20"/>
          <w:szCs w:val="20"/>
        </w:rPr>
        <w:t>trodurre</w:t>
      </w:r>
      <w:r w:rsidR="00822544">
        <w:rPr>
          <w:rFonts w:ascii="Verdana" w:hAnsi="Verdana"/>
          <w:sz w:val="20"/>
          <w:szCs w:val="20"/>
        </w:rPr>
        <w:t xml:space="preserve"> un (illegittimo) vaglio de</w:t>
      </w:r>
      <w:r w:rsidR="00B302A2">
        <w:rPr>
          <w:rFonts w:ascii="Verdana" w:hAnsi="Verdana"/>
          <w:sz w:val="20"/>
          <w:szCs w:val="20"/>
        </w:rPr>
        <w:t>l c</w:t>
      </w:r>
      <w:r w:rsidR="00395A66">
        <w:rPr>
          <w:rFonts w:ascii="Verdana" w:hAnsi="Verdana"/>
          <w:sz w:val="20"/>
          <w:szCs w:val="20"/>
        </w:rPr>
        <w:t>onservatore sul (legittimo) ordine di purgazione impartito dal giudice dell’esecuzione.</w:t>
      </w:r>
      <w:r w:rsidR="00B302A2">
        <w:rPr>
          <w:rFonts w:ascii="Verdana" w:hAnsi="Verdana"/>
          <w:sz w:val="20"/>
          <w:szCs w:val="20"/>
        </w:rPr>
        <w:t xml:space="preserve"> </w:t>
      </w:r>
    </w:p>
    <w:p w14:paraId="1D060F95" w14:textId="598D77EE" w:rsidR="000662CB" w:rsidRDefault="00B302A2" w:rsidP="00404AA3">
      <w:pPr>
        <w:widowControl w:val="0"/>
        <w:tabs>
          <w:tab w:val="left" w:pos="567"/>
        </w:tabs>
        <w:autoSpaceDE w:val="0"/>
        <w:autoSpaceDN w:val="0"/>
        <w:adjustRightInd w:val="0"/>
        <w:ind w:firstLine="567"/>
        <w:jc w:val="both"/>
        <w:rPr>
          <w:rFonts w:ascii="Verdana" w:hAnsi="Verdana"/>
          <w:sz w:val="20"/>
          <w:szCs w:val="20"/>
        </w:rPr>
      </w:pPr>
      <w:r>
        <w:rPr>
          <w:rFonts w:ascii="Verdana" w:hAnsi="Verdana"/>
          <w:sz w:val="20"/>
          <w:szCs w:val="20"/>
        </w:rPr>
        <w:t>Resta sullo sfondo il rilievo che solo la notifica del decreto di trasferimento alle parti può contribuire a risolvere buona parte del problema, perché in questo modo si anticipa il decorso dei termini per la proposizione dell’opposizi</w:t>
      </w:r>
      <w:r w:rsidR="001B5CD4">
        <w:rPr>
          <w:rFonts w:ascii="Verdana" w:hAnsi="Verdana"/>
          <w:sz w:val="20"/>
          <w:szCs w:val="20"/>
        </w:rPr>
        <w:t xml:space="preserve">one di cui all’art. 617 c.p.c. e, di conseguenza, </w:t>
      </w:r>
      <w:r>
        <w:rPr>
          <w:rFonts w:ascii="Verdana" w:hAnsi="Verdana"/>
          <w:sz w:val="20"/>
          <w:szCs w:val="20"/>
        </w:rPr>
        <w:t xml:space="preserve">la stabilizzazione della </w:t>
      </w:r>
      <w:r w:rsidR="001B5CD4">
        <w:rPr>
          <w:rFonts w:ascii="Verdana" w:hAnsi="Verdana"/>
          <w:sz w:val="20"/>
          <w:szCs w:val="20"/>
        </w:rPr>
        <w:t>vendita forzata.</w:t>
      </w:r>
    </w:p>
    <w:p w14:paraId="30D2D7F2" w14:textId="77777777" w:rsidR="00580DAB" w:rsidRDefault="00580DAB" w:rsidP="00404AA3">
      <w:pPr>
        <w:widowControl w:val="0"/>
        <w:tabs>
          <w:tab w:val="left" w:pos="567"/>
        </w:tabs>
        <w:autoSpaceDE w:val="0"/>
        <w:autoSpaceDN w:val="0"/>
        <w:adjustRightInd w:val="0"/>
        <w:ind w:firstLine="567"/>
        <w:jc w:val="both"/>
        <w:rPr>
          <w:rFonts w:ascii="Verdana" w:hAnsi="Verdana"/>
          <w:b/>
          <w:bCs/>
          <w:caps/>
          <w:sz w:val="20"/>
          <w:szCs w:val="20"/>
        </w:rPr>
      </w:pPr>
    </w:p>
    <w:p w14:paraId="26F27690" w14:textId="77777777" w:rsidR="00580DAB" w:rsidRPr="00F94B00" w:rsidRDefault="00580DAB" w:rsidP="00404AA3">
      <w:pPr>
        <w:widowControl w:val="0"/>
        <w:tabs>
          <w:tab w:val="left" w:pos="567"/>
        </w:tabs>
        <w:autoSpaceDE w:val="0"/>
        <w:autoSpaceDN w:val="0"/>
        <w:adjustRightInd w:val="0"/>
        <w:ind w:firstLine="567"/>
        <w:jc w:val="both"/>
        <w:rPr>
          <w:rFonts w:ascii="Verdana" w:hAnsi="Verdana"/>
          <w:b/>
          <w:sz w:val="20"/>
          <w:szCs w:val="20"/>
        </w:rPr>
      </w:pPr>
      <w:r w:rsidRPr="00F94B00">
        <w:rPr>
          <w:rFonts w:ascii="Verdana" w:hAnsi="Verdana"/>
          <w:b/>
          <w:bCs/>
          <w:caps/>
          <w:sz w:val="20"/>
          <w:szCs w:val="20"/>
        </w:rPr>
        <w:t>APPROFONDIMENTi</w:t>
      </w:r>
    </w:p>
    <w:p w14:paraId="69B467DB" w14:textId="044089A8" w:rsidR="00E26284" w:rsidRPr="004A0E43" w:rsidRDefault="00580DAB" w:rsidP="00404AA3">
      <w:pPr>
        <w:widowControl w:val="0"/>
        <w:tabs>
          <w:tab w:val="left" w:pos="220"/>
          <w:tab w:val="left" w:pos="567"/>
          <w:tab w:val="left" w:pos="720"/>
        </w:tabs>
        <w:autoSpaceDE w:val="0"/>
        <w:autoSpaceDN w:val="0"/>
        <w:adjustRightInd w:val="0"/>
        <w:spacing w:after="240"/>
        <w:ind w:firstLine="567"/>
        <w:jc w:val="both"/>
        <w:rPr>
          <w:rFonts w:ascii="Times" w:eastAsiaTheme="minorEastAsia" w:hAnsi="Times" w:cs="Times"/>
        </w:rPr>
      </w:pPr>
      <w:r w:rsidRPr="0038219C">
        <w:rPr>
          <w:rFonts w:ascii="Verdana" w:hAnsi="Verdana"/>
          <w:sz w:val="20"/>
          <w:szCs w:val="20"/>
        </w:rPr>
        <w:t xml:space="preserve">Sulle </w:t>
      </w:r>
      <w:r>
        <w:rPr>
          <w:rFonts w:ascii="Verdana" w:hAnsi="Verdana"/>
          <w:sz w:val="20"/>
          <w:szCs w:val="20"/>
        </w:rPr>
        <w:t xml:space="preserve">singole </w:t>
      </w:r>
      <w:r w:rsidRPr="004A0E43">
        <w:rPr>
          <w:rFonts w:ascii="Verdana" w:hAnsi="Verdana"/>
          <w:sz w:val="20"/>
          <w:szCs w:val="20"/>
        </w:rPr>
        <w:t xml:space="preserve">questioni rinvio alla giurisprudenza riportata nel testo. In dottrina cfr.: </w:t>
      </w:r>
      <w:r w:rsidRPr="004A0E43">
        <w:rPr>
          <w:rFonts w:ascii="Verdana" w:hAnsi="Verdana"/>
          <w:smallCaps/>
          <w:sz w:val="20"/>
          <w:szCs w:val="20"/>
        </w:rPr>
        <w:t>Astuni</w:t>
      </w:r>
      <w:r w:rsidRPr="004A0E43">
        <w:rPr>
          <w:rFonts w:ascii="Verdana" w:hAnsi="Verdana"/>
          <w:sz w:val="20"/>
          <w:szCs w:val="20"/>
        </w:rPr>
        <w:t xml:space="preserve">, </w:t>
      </w:r>
      <w:r w:rsidR="004A0E43">
        <w:rPr>
          <w:rFonts w:ascii="Verdana" w:eastAsiaTheme="minorEastAsia" w:hAnsi="Verdana" w:cs="Times"/>
          <w:i/>
          <w:sz w:val="20"/>
          <w:szCs w:val="20"/>
        </w:rPr>
        <w:t>I</w:t>
      </w:r>
      <w:r w:rsidR="004A0E43" w:rsidRPr="004A0E43">
        <w:rPr>
          <w:rFonts w:ascii="Verdana" w:eastAsiaTheme="minorEastAsia" w:hAnsi="Verdana" w:cs="Times"/>
          <w:i/>
          <w:sz w:val="20"/>
          <w:szCs w:val="20"/>
        </w:rPr>
        <w:t>l trasferimento dell’immobile. stabilità dell’aggiudicazione e della vendita</w:t>
      </w:r>
      <w:r w:rsidR="004A0E43" w:rsidRPr="004A0E43">
        <w:rPr>
          <w:rFonts w:ascii="Verdana" w:eastAsiaTheme="minorEastAsia" w:hAnsi="Verdana" w:cs="Times"/>
          <w:sz w:val="20"/>
          <w:szCs w:val="20"/>
        </w:rPr>
        <w:t xml:space="preserve">, in AA.VV., </w:t>
      </w:r>
      <w:r w:rsidR="004A0E43" w:rsidRPr="004A0E43">
        <w:rPr>
          <w:rFonts w:ascii="Verdana" w:eastAsiaTheme="minorEastAsia" w:hAnsi="Verdana" w:cs="Times"/>
          <w:i/>
          <w:sz w:val="20"/>
          <w:szCs w:val="20"/>
        </w:rPr>
        <w:t>Il processo di esecuzione</w:t>
      </w:r>
      <w:r w:rsidR="00D35D71">
        <w:rPr>
          <w:rFonts w:ascii="Verdana" w:eastAsiaTheme="minorEastAsia" w:hAnsi="Verdana" w:cs="Times"/>
          <w:sz w:val="20"/>
          <w:szCs w:val="20"/>
        </w:rPr>
        <w:t xml:space="preserve">, Padova 2011, 790 </w:t>
      </w:r>
      <w:r w:rsidR="004A0E43" w:rsidRPr="004A0E43">
        <w:rPr>
          <w:rFonts w:ascii="Verdana" w:eastAsiaTheme="minorEastAsia" w:hAnsi="Verdana" w:cs="Times"/>
          <w:sz w:val="20"/>
          <w:szCs w:val="20"/>
        </w:rPr>
        <w:t>ss. </w:t>
      </w:r>
    </w:p>
    <w:sectPr w:rsidR="00E26284" w:rsidRPr="004A0E43" w:rsidSect="006C1750">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CDCB6" w14:textId="77777777" w:rsidR="005F0CC1" w:rsidRDefault="005F0CC1" w:rsidP="003F71F2">
      <w:r>
        <w:separator/>
      </w:r>
    </w:p>
  </w:endnote>
  <w:endnote w:type="continuationSeparator" w:id="0">
    <w:p w14:paraId="2CC23BBD" w14:textId="77777777" w:rsidR="005F0CC1" w:rsidRDefault="005F0CC1" w:rsidP="003F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oncini Garamond">
    <w:altName w:val="Cambria"/>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9AE4" w14:textId="77777777" w:rsidR="005F0CC1" w:rsidRDefault="005F0CC1" w:rsidP="003F71F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8BAC064" w14:textId="77777777" w:rsidR="005F0CC1" w:rsidRDefault="005F0CC1" w:rsidP="003F71F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97F38" w14:textId="77777777" w:rsidR="005F0CC1" w:rsidRDefault="005F0CC1" w:rsidP="003F71F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E04E3">
      <w:rPr>
        <w:rStyle w:val="Numeropagina"/>
        <w:noProof/>
      </w:rPr>
      <w:t>1</w:t>
    </w:r>
    <w:r>
      <w:rPr>
        <w:rStyle w:val="Numeropagina"/>
      </w:rPr>
      <w:fldChar w:fldCharType="end"/>
    </w:r>
  </w:p>
  <w:p w14:paraId="51DC42BF" w14:textId="77777777" w:rsidR="005F0CC1" w:rsidRDefault="005F0CC1" w:rsidP="003F71F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05F17" w14:textId="77777777" w:rsidR="005F0CC1" w:rsidRDefault="005F0CC1" w:rsidP="003F71F2">
      <w:r>
        <w:separator/>
      </w:r>
    </w:p>
  </w:footnote>
  <w:footnote w:type="continuationSeparator" w:id="0">
    <w:p w14:paraId="1A989BA2" w14:textId="77777777" w:rsidR="005F0CC1" w:rsidRDefault="005F0CC1" w:rsidP="003F71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69"/>
    <w:rsid w:val="000662CB"/>
    <w:rsid w:val="000B65A4"/>
    <w:rsid w:val="000C3A25"/>
    <w:rsid w:val="000E35D6"/>
    <w:rsid w:val="00102D4B"/>
    <w:rsid w:val="001623DF"/>
    <w:rsid w:val="00186994"/>
    <w:rsid w:val="001B5CD4"/>
    <w:rsid w:val="00201AA6"/>
    <w:rsid w:val="00204C3E"/>
    <w:rsid w:val="00217DB7"/>
    <w:rsid w:val="00225DF3"/>
    <w:rsid w:val="00241ABA"/>
    <w:rsid w:val="00276658"/>
    <w:rsid w:val="002A0FD3"/>
    <w:rsid w:val="00304DDA"/>
    <w:rsid w:val="00395A66"/>
    <w:rsid w:val="003D37A5"/>
    <w:rsid w:val="003F03CF"/>
    <w:rsid w:val="003F71F2"/>
    <w:rsid w:val="00404AA3"/>
    <w:rsid w:val="00416EA4"/>
    <w:rsid w:val="00444FB3"/>
    <w:rsid w:val="00495008"/>
    <w:rsid w:val="004A0E43"/>
    <w:rsid w:val="004A24F5"/>
    <w:rsid w:val="004E04E3"/>
    <w:rsid w:val="0052009B"/>
    <w:rsid w:val="00526AAB"/>
    <w:rsid w:val="00562CB5"/>
    <w:rsid w:val="00565CBA"/>
    <w:rsid w:val="00580DAB"/>
    <w:rsid w:val="005F0CC1"/>
    <w:rsid w:val="00613A41"/>
    <w:rsid w:val="006242D9"/>
    <w:rsid w:val="006C1750"/>
    <w:rsid w:val="006C2DDC"/>
    <w:rsid w:val="00703E69"/>
    <w:rsid w:val="00781721"/>
    <w:rsid w:val="00792ECC"/>
    <w:rsid w:val="00822544"/>
    <w:rsid w:val="00865305"/>
    <w:rsid w:val="0088568F"/>
    <w:rsid w:val="0089503C"/>
    <w:rsid w:val="008A6C07"/>
    <w:rsid w:val="008F32D3"/>
    <w:rsid w:val="009B340A"/>
    <w:rsid w:val="009D40DE"/>
    <w:rsid w:val="009F2510"/>
    <w:rsid w:val="00B302A2"/>
    <w:rsid w:val="00B412BD"/>
    <w:rsid w:val="00B61510"/>
    <w:rsid w:val="00B76BF1"/>
    <w:rsid w:val="00B8249B"/>
    <w:rsid w:val="00BE5BC4"/>
    <w:rsid w:val="00C435C1"/>
    <w:rsid w:val="00C77BA8"/>
    <w:rsid w:val="00CD14E8"/>
    <w:rsid w:val="00CD3B73"/>
    <w:rsid w:val="00D35D71"/>
    <w:rsid w:val="00D96030"/>
    <w:rsid w:val="00E26284"/>
    <w:rsid w:val="00ED3567"/>
    <w:rsid w:val="00FA708C"/>
    <w:rsid w:val="00FC2E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7008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oncini Garamond" w:eastAsiaTheme="minorEastAsia" w:hAnsi="Simoncini Garamond"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E69"/>
    <w:rPr>
      <w:rFonts w:ascii="Times New Roman" w:eastAsia="Times New Roman" w:hAnsi="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F71F2"/>
    <w:pPr>
      <w:tabs>
        <w:tab w:val="center" w:pos="4819"/>
        <w:tab w:val="right" w:pos="9638"/>
      </w:tabs>
    </w:pPr>
  </w:style>
  <w:style w:type="character" w:customStyle="1" w:styleId="PidipaginaCarattere">
    <w:name w:val="Piè di pagina Carattere"/>
    <w:basedOn w:val="Caratterepredefinitoparagrafo"/>
    <w:link w:val="Pidipagina"/>
    <w:uiPriority w:val="99"/>
    <w:rsid w:val="003F71F2"/>
    <w:rPr>
      <w:rFonts w:ascii="Times New Roman" w:eastAsia="Times New Roman" w:hAnsi="Times New Roman"/>
      <w:sz w:val="24"/>
      <w:szCs w:val="24"/>
    </w:rPr>
  </w:style>
  <w:style w:type="character" w:styleId="Numeropagina">
    <w:name w:val="page number"/>
    <w:basedOn w:val="Caratterepredefinitoparagrafo"/>
    <w:uiPriority w:val="99"/>
    <w:semiHidden/>
    <w:unhideWhenUsed/>
    <w:rsid w:val="003F71F2"/>
  </w:style>
  <w:style w:type="paragraph" w:styleId="NormaleWeb">
    <w:name w:val="Normal (Web)"/>
    <w:basedOn w:val="Normale"/>
    <w:uiPriority w:val="99"/>
    <w:unhideWhenUsed/>
    <w:rsid w:val="009F2510"/>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oncini Garamond" w:eastAsiaTheme="minorEastAsia" w:hAnsi="Simoncini Garamond"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E69"/>
    <w:rPr>
      <w:rFonts w:ascii="Times New Roman" w:eastAsia="Times New Roman" w:hAnsi="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F71F2"/>
    <w:pPr>
      <w:tabs>
        <w:tab w:val="center" w:pos="4819"/>
        <w:tab w:val="right" w:pos="9638"/>
      </w:tabs>
    </w:pPr>
  </w:style>
  <w:style w:type="character" w:customStyle="1" w:styleId="PidipaginaCarattere">
    <w:name w:val="Piè di pagina Carattere"/>
    <w:basedOn w:val="Caratterepredefinitoparagrafo"/>
    <w:link w:val="Pidipagina"/>
    <w:uiPriority w:val="99"/>
    <w:rsid w:val="003F71F2"/>
    <w:rPr>
      <w:rFonts w:ascii="Times New Roman" w:eastAsia="Times New Roman" w:hAnsi="Times New Roman"/>
      <w:sz w:val="24"/>
      <w:szCs w:val="24"/>
    </w:rPr>
  </w:style>
  <w:style w:type="character" w:styleId="Numeropagina">
    <w:name w:val="page number"/>
    <w:basedOn w:val="Caratterepredefinitoparagrafo"/>
    <w:uiPriority w:val="99"/>
    <w:semiHidden/>
    <w:unhideWhenUsed/>
    <w:rsid w:val="003F71F2"/>
  </w:style>
  <w:style w:type="paragraph" w:styleId="NormaleWeb">
    <w:name w:val="Normal (Web)"/>
    <w:basedOn w:val="Normale"/>
    <w:uiPriority w:val="99"/>
    <w:unhideWhenUsed/>
    <w:rsid w:val="009F2510"/>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47215">
      <w:bodyDiv w:val="1"/>
      <w:marLeft w:val="0"/>
      <w:marRight w:val="0"/>
      <w:marTop w:val="0"/>
      <w:marBottom w:val="0"/>
      <w:divBdr>
        <w:top w:val="none" w:sz="0" w:space="0" w:color="auto"/>
        <w:left w:val="none" w:sz="0" w:space="0" w:color="auto"/>
        <w:bottom w:val="none" w:sz="0" w:space="0" w:color="auto"/>
        <w:right w:val="none" w:sz="0" w:space="0" w:color="auto"/>
      </w:divBdr>
    </w:div>
    <w:div w:id="2117288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1831</Words>
  <Characters>10437</Characters>
  <Application>Microsoft Macintosh Word</Application>
  <DocSecurity>0</DocSecurity>
  <Lines>86</Lines>
  <Paragraphs>24</Paragraphs>
  <ScaleCrop>false</ScaleCrop>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2017-11-06T12:02:00Z</dcterms:created>
  <dcterms:modified xsi:type="dcterms:W3CDTF">2017-11-06T12:02:00Z</dcterms:modified>
</cp:coreProperties>
</file>