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FD" w:rsidRDefault="00AE2D5C">
      <w:pPr>
        <w:jc w:val="both"/>
        <w:rPr>
          <w:rFonts w:ascii="Bookman Old Style" w:eastAsia="Bookman Old Style" w:hAnsi="Bookman Old Style" w:cs="Bookman Old Style"/>
          <w:b/>
        </w:rPr>
      </w:pPr>
      <w:bookmarkStart w:id="0" w:name="_GoBack"/>
      <w:bookmarkEnd w:id="0"/>
      <w:r>
        <w:rPr>
          <w:rFonts w:ascii="Bookman Old Style" w:eastAsia="Bookman Old Style" w:hAnsi="Bookman Old Style" w:cs="Bookman Old Style"/>
          <w:b/>
        </w:rPr>
        <w:t xml:space="preserve">     La vendita telematica asincrona: qualche riflessione per una gestione “efficiente” del sistema dell’espropriazione forzata immobiliare</w:t>
      </w:r>
    </w:p>
    <w:p w:rsidR="00476EFD" w:rsidRDefault="00AE2D5C">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     Dott. Valerio Colandrea</w:t>
      </w:r>
    </w:p>
    <w:p w:rsidR="00476EFD" w:rsidRDefault="00AE2D5C">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     Tribunale di Napoli</w:t>
      </w:r>
    </w:p>
    <w:p w:rsidR="00476EFD" w:rsidRDefault="00476EFD">
      <w:pPr>
        <w:jc w:val="both"/>
        <w:rPr>
          <w:rFonts w:ascii="Bookman Old Style" w:eastAsia="Bookman Old Style" w:hAnsi="Bookman Old Style" w:cs="Bookman Old Style"/>
          <w:b/>
        </w:rPr>
      </w:pPr>
    </w:p>
    <w:p w:rsidR="00476EFD" w:rsidRDefault="00AE2D5C">
      <w:pPr>
        <w:jc w:val="both"/>
        <w:rPr>
          <w:rFonts w:ascii="Bookman Old Style" w:eastAsia="Bookman Old Style" w:hAnsi="Bookman Old Style" w:cs="Bookman Old Style"/>
          <w:b/>
          <w:sz w:val="20"/>
          <w:szCs w:val="20"/>
        </w:rPr>
      </w:pPr>
      <w:bookmarkStart w:id="1" w:name="_gjdgxs" w:colFirst="0" w:colLast="0"/>
      <w:bookmarkEnd w:id="1"/>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smallCaps/>
          <w:sz w:val="20"/>
          <w:szCs w:val="20"/>
        </w:rPr>
        <w:t xml:space="preserve">Sommario: </w:t>
      </w:r>
      <w:r>
        <w:rPr>
          <w:rFonts w:ascii="Bookman Old Style" w:eastAsia="Bookman Old Style" w:hAnsi="Bookman Old Style" w:cs="Bookman Old Style"/>
          <w:b/>
          <w:sz w:val="20"/>
          <w:szCs w:val="20"/>
        </w:rPr>
        <w:t>1. La novella del D.L. n. 59 del 2016 ed il “doppio binario”: vendita telematica/vendita analogica; 2. La vendita telematica ed il problema della barriera “tecnologica”: la vendita sincrona mista; 3. La vendita asincrona nella prospettiva del c.d. doppio b</w:t>
      </w:r>
      <w:r>
        <w:rPr>
          <w:rFonts w:ascii="Bookman Old Style" w:eastAsia="Bookman Old Style" w:hAnsi="Bookman Old Style" w:cs="Bookman Old Style"/>
          <w:b/>
          <w:sz w:val="20"/>
          <w:szCs w:val="20"/>
        </w:rPr>
        <w:t>inario; 4. I profili operativi dell’ordinanza di vendita telematica con modalità asincrona.</w:t>
      </w:r>
    </w:p>
    <w:p w:rsidR="00476EFD" w:rsidRDefault="00476EFD">
      <w:pPr>
        <w:jc w:val="both"/>
        <w:rPr>
          <w:rFonts w:ascii="Bookman Old Style" w:eastAsia="Bookman Old Style" w:hAnsi="Bookman Old Style" w:cs="Bookman Old Style"/>
          <w:b/>
        </w:rPr>
      </w:pPr>
    </w:p>
    <w:p w:rsidR="00476EFD" w:rsidRDefault="00AE2D5C">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     1. La novella del D.L. n. 59 del 2016 ed il “doppio binario”: vendita telematica/vendita analogica.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Una riflessione sull’opzione tra le diverse modalità </w:t>
      </w:r>
      <w:r>
        <w:rPr>
          <w:rFonts w:ascii="Bookman Old Style" w:eastAsia="Bookman Old Style" w:hAnsi="Bookman Old Style" w:cs="Bookman Old Style"/>
        </w:rPr>
        <w:t>di vendita telematica contemplate dal D.M. n. 32 del 2015 e, in particolare, sulla scelta tra il sistema della vendita sincrona (ivi compresa la variante c.d. mista) ed il meccanismo della vendita asincrona deve muovere, a mio giudizio, da una considerazio</w:t>
      </w:r>
      <w:r>
        <w:rPr>
          <w:rFonts w:ascii="Bookman Old Style" w:eastAsia="Bookman Old Style" w:hAnsi="Bookman Old Style" w:cs="Bookman Old Style"/>
        </w:rPr>
        <w:t>ne generale di fondo.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A ben vedere, non risulta del tutto soddisfacente una prospettiva nella quale ci si limiti a </w:t>
      </w:r>
      <w:r>
        <w:rPr>
          <w:rFonts w:ascii="Bookman Old Style" w:eastAsia="Bookman Old Style" w:hAnsi="Bookman Old Style" w:cs="Bookman Old Style"/>
          <w:b/>
        </w:rPr>
        <w:t>“comparare” e “pesare” i vantaggi e gli svantaggi</w:t>
      </w:r>
      <w:r>
        <w:rPr>
          <w:rFonts w:ascii="Bookman Old Style" w:eastAsia="Bookman Old Style" w:hAnsi="Bookman Old Style" w:cs="Bookman Old Style"/>
        </w:rPr>
        <w:t xml:space="preserve"> delle singole modalità di vendita disciplinate dal D.M. n. 32 del 2015 (sincrona pura;</w:t>
      </w:r>
      <w:r>
        <w:rPr>
          <w:rFonts w:ascii="Bookman Old Style" w:eastAsia="Bookman Old Style" w:hAnsi="Bookman Old Style" w:cs="Bookman Old Style"/>
        </w:rPr>
        <w:t xml:space="preserve"> sincrona mista; asincrona). Non v’è dubbio, infatti, che ciascuno di tali meccanismi presenti in egual misura aspetti positivi e, nel contempo, inconvenienti operativi (anche non di poco conto), profili che solo l’esperienza futura sarà in grado di far ap</w:t>
      </w:r>
      <w:r>
        <w:rPr>
          <w:rFonts w:ascii="Bookman Old Style" w:eastAsia="Bookman Old Style" w:hAnsi="Bookman Old Style" w:cs="Bookman Old Style"/>
        </w:rPr>
        <w:t>prezzare appieno.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Il discorso deve essere allora ampliato: non si tratta semplicemente di optare per la vendita sincrona (pura o mista) oppure per quella asincrona, bensì di </w:t>
      </w:r>
      <w:r>
        <w:rPr>
          <w:rFonts w:ascii="Bookman Old Style" w:eastAsia="Bookman Old Style" w:hAnsi="Bookman Old Style" w:cs="Bookman Old Style"/>
          <w:b/>
        </w:rPr>
        <w:t>“gestire” il passaggio da un modello di vendita forzata “analogico” ad uno “t</w:t>
      </w:r>
      <w:r>
        <w:rPr>
          <w:rFonts w:ascii="Bookman Old Style" w:eastAsia="Bookman Old Style" w:hAnsi="Bookman Old Style" w:cs="Bookman Old Style"/>
          <w:b/>
        </w:rPr>
        <w:t>elematico”</w:t>
      </w:r>
      <w:r>
        <w:rPr>
          <w:rFonts w:ascii="Bookman Old Style" w:eastAsia="Bookman Old Style" w:hAnsi="Bookman Old Style" w:cs="Bookman Old Style"/>
        </w:rPr>
        <w:t>, un sistema, cioè, nel quale l’infrastruttura di fondo deve inevitabilmente essere – in via esclusiva (se si opti per la vendita sincrona pura od asincrona) od aggiuntiva (laddove si utilizzi la vendita sincrona mista) – comunque telematica.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rPr>
        <w:t xml:space="preserve">  In altre parole, i giudici dell’esecuzione sono posti di fronte alla necessità di operare una valutazione di “sistema” e, conseguentemente, sono chiamati a costruire un meccanismo complessivo che consenta di “gestire” in maniera efficiente tale passaggio</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1"/>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In questa prospettiva, è utile che la valutazione muova, da un lato, dalla considerazione del complessivo sistema costruito dal legislatore a livello di </w:t>
      </w:r>
      <w:r>
        <w:rPr>
          <w:rFonts w:ascii="Bookman Old Style" w:eastAsia="Bookman Old Style" w:hAnsi="Bookman Old Style" w:cs="Bookman Old Style"/>
          <w:b/>
        </w:rPr>
        <w:t>normazione primaria</w:t>
      </w:r>
      <w:r>
        <w:rPr>
          <w:rFonts w:ascii="Bookman Old Style" w:eastAsia="Bookman Old Style" w:hAnsi="Bookman Old Style" w:cs="Bookman Old Style"/>
        </w:rPr>
        <w:t xml:space="preserve"> e della </w:t>
      </w:r>
      <w:r>
        <w:rPr>
          <w:rFonts w:ascii="Bookman Old Style" w:eastAsia="Bookman Old Style" w:hAnsi="Bookman Old Style" w:cs="Bookman Old Style"/>
          <w:b/>
          <w:i/>
        </w:rPr>
        <w:t xml:space="preserve">ratio </w:t>
      </w:r>
      <w:r>
        <w:rPr>
          <w:rFonts w:ascii="Bookman Old Style" w:eastAsia="Bookman Old Style" w:hAnsi="Bookman Old Style" w:cs="Bookman Old Style"/>
          <w:b/>
        </w:rPr>
        <w:t>della novella del D.L. n. 59 del 2016</w:t>
      </w:r>
      <w:r>
        <w:rPr>
          <w:rFonts w:ascii="Bookman Old Style" w:eastAsia="Bookman Old Style" w:hAnsi="Bookman Old Style" w:cs="Bookman Old Style"/>
        </w:rPr>
        <w:t>, nonché, dall’altro lat</w:t>
      </w:r>
      <w:r>
        <w:rPr>
          <w:rFonts w:ascii="Bookman Old Style" w:eastAsia="Bookman Old Style" w:hAnsi="Bookman Old Style" w:cs="Bookman Old Style"/>
        </w:rPr>
        <w:t xml:space="preserve">o, dalla necessità di assicurare un meccanismo che sia efficace ed efficiente, costituendo l’efficacia ed efficienza delle procedure espropriative il filo conduttore delle riforme che si sono succedute nel corso degli ultimi anni.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A questo proposit</w:t>
      </w:r>
      <w:r>
        <w:rPr>
          <w:rFonts w:ascii="Bookman Old Style" w:eastAsia="Bookman Old Style" w:hAnsi="Bookman Old Style" w:cs="Bookman Old Style"/>
        </w:rPr>
        <w:t xml:space="preserve">o, è noto come il D.L. n. 59 del 2016 abbia configurato la </w:t>
      </w:r>
      <w:r>
        <w:rPr>
          <w:rFonts w:ascii="Bookman Old Style" w:eastAsia="Bookman Old Style" w:hAnsi="Bookman Old Style" w:cs="Bookman Old Style"/>
          <w:b/>
        </w:rPr>
        <w:t xml:space="preserve">vendita “telematica” quale modello </w:t>
      </w:r>
      <w:r>
        <w:rPr>
          <w:rFonts w:ascii="Bookman Old Style" w:eastAsia="Bookman Old Style" w:hAnsi="Bookman Old Style" w:cs="Bookman Old Style"/>
          <w:b/>
          <w:i/>
        </w:rPr>
        <w:t>standard</w:t>
      </w:r>
      <w:r>
        <w:rPr>
          <w:rFonts w:ascii="Bookman Old Style" w:eastAsia="Bookman Old Style" w:hAnsi="Bookman Old Style" w:cs="Bookman Old Style"/>
          <w:i/>
        </w:rPr>
        <w:t xml:space="preserve"> </w:t>
      </w:r>
      <w:r>
        <w:rPr>
          <w:rFonts w:ascii="Bookman Old Style" w:eastAsia="Bookman Old Style" w:hAnsi="Bookman Old Style" w:cs="Bookman Old Style"/>
        </w:rPr>
        <w:t>per lo svolgimento delle operazioni di vendita nelle procedure espropriative immobiliari: infatti, l’art. 569, quarto comma, c.p.c. è chiaro nel preveder</w:t>
      </w:r>
      <w:r>
        <w:rPr>
          <w:rFonts w:ascii="Bookman Old Style" w:eastAsia="Bookman Old Style" w:hAnsi="Bookman Old Style" w:cs="Bookman Old Style"/>
        </w:rPr>
        <w:t>e che, in via ordinaria, “</w:t>
      </w:r>
      <w:r>
        <w:rPr>
          <w:rFonts w:ascii="Bookman Old Style" w:eastAsia="Bookman Old Style" w:hAnsi="Bookman Old Style" w:cs="Bookman Old Style"/>
          <w:i/>
        </w:rPr>
        <w:t>il giudice stabilisce che il versamento della cauzione, la presentazione delle offerte, lo svolgimento della gara tra gli offerenti e, nei casi previsti, l'incanto, nonché il pagamento del prezzo, siano effettuati con modalità tel</w:t>
      </w:r>
      <w:r>
        <w:rPr>
          <w:rFonts w:ascii="Bookman Old Style" w:eastAsia="Bookman Old Style" w:hAnsi="Bookman Old Style" w:cs="Bookman Old Style"/>
          <w:i/>
        </w:rPr>
        <w:t>ematiche, nel rispetto della normativa regolamentare di cui all'articolo 161-ter delle disposizioni per l'attuazione del presente codice</w:t>
      </w:r>
      <w:r>
        <w:rPr>
          <w:rFonts w:ascii="Bookman Old Style" w:eastAsia="Bookman Old Style" w:hAnsi="Bookman Old Style" w:cs="Bookman Old Style"/>
        </w:rPr>
        <w:t>”.</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La </w:t>
      </w:r>
      <w:r>
        <w:rPr>
          <w:rFonts w:ascii="Bookman Old Style" w:eastAsia="Bookman Old Style" w:hAnsi="Bookman Old Style" w:cs="Bookman Old Style"/>
          <w:i/>
        </w:rPr>
        <w:t xml:space="preserve">ratio </w:t>
      </w:r>
      <w:r>
        <w:rPr>
          <w:rFonts w:ascii="Bookman Old Style" w:eastAsia="Bookman Old Style" w:hAnsi="Bookman Old Style" w:cs="Bookman Old Style"/>
        </w:rPr>
        <w:t xml:space="preserve">di tale scelta è riconducibile, in buona sostanza, all’esigenza di realizzare </w:t>
      </w:r>
      <w:r>
        <w:rPr>
          <w:rFonts w:ascii="Bookman Old Style" w:eastAsia="Bookman Old Style" w:hAnsi="Bookman Old Style" w:cs="Bookman Old Style"/>
          <w:b/>
        </w:rPr>
        <w:t>“la trasparenza attraverso</w:t>
      </w:r>
      <w:r>
        <w:rPr>
          <w:rFonts w:ascii="Bookman Old Style" w:eastAsia="Bookman Old Style" w:hAnsi="Bookman Old Style" w:cs="Bookman Old Style"/>
          <w:b/>
        </w:rPr>
        <w:t xml:space="preserve"> la segretezza”</w:t>
      </w:r>
      <w:r>
        <w:rPr>
          <w:rFonts w:ascii="Bookman Old Style" w:eastAsia="Bookman Old Style" w:hAnsi="Bookman Old Style" w:cs="Bookman Old Style"/>
        </w:rPr>
        <w:t>: le operazioni di vendita vengono spostate dalle aule di tribunale (e degli studi professionali) e vengono collocate su di un piano “virtuale” perché ciò consente, quanto meno tendenzialmente, di conseguire la massima segretezza possibile (</w:t>
      </w:r>
      <w:r>
        <w:rPr>
          <w:rFonts w:ascii="Bookman Old Style" w:eastAsia="Bookman Old Style" w:hAnsi="Bookman Old Style" w:cs="Bookman Old Style"/>
        </w:rPr>
        <w:t>evitando qualsiasi forma di “contatto” tra i potenziali interessati ed offerenti) e, conseguentemente, di assicurare la garanzia di un risultato “trasparente” (non inquinato, cioè, da fattori esterni diversi da quelli – insiti in un normale meccanismo di m</w:t>
      </w:r>
      <w:r>
        <w:rPr>
          <w:rFonts w:ascii="Bookman Old Style" w:eastAsia="Bookman Old Style" w:hAnsi="Bookman Old Style" w:cs="Bookman Old Style"/>
        </w:rPr>
        <w:t>ercato – del gioco tra domanda ed offerta).</w:t>
      </w:r>
      <w:r>
        <w:rPr>
          <w:rFonts w:ascii="Bookman Old Style" w:eastAsia="Bookman Old Style" w:hAnsi="Bookman Old Style" w:cs="Bookman Old Style"/>
          <w:vertAlign w:val="superscript"/>
        </w:rPr>
        <w:footnoteReference w:id="2"/>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Nel contempo, il legislatore ha introdotto una sorta di </w:t>
      </w:r>
      <w:r>
        <w:rPr>
          <w:rFonts w:ascii="Bookman Old Style" w:eastAsia="Bookman Old Style" w:hAnsi="Bookman Old Style" w:cs="Bookman Old Style"/>
          <w:b/>
        </w:rPr>
        <w:t>clausola di salvaguardia</w:t>
      </w:r>
      <w:r>
        <w:rPr>
          <w:rFonts w:ascii="Bookman Old Style" w:eastAsia="Bookman Old Style" w:hAnsi="Bookman Old Style" w:cs="Bookman Old Style"/>
        </w:rPr>
        <w:t>: invero, l’art. 569, quarto comma, c.p.c. ha conservato il potere del giudice di autorizzare la vendita in modalità “analogica” qualora il ricorso alla struttura “telematica” risulti “</w:t>
      </w:r>
      <w:r>
        <w:rPr>
          <w:rFonts w:ascii="Bookman Old Style" w:eastAsia="Bookman Old Style" w:hAnsi="Bookman Old Style" w:cs="Bookman Old Style"/>
          <w:i/>
        </w:rPr>
        <w:t>pregiudizievole per gli interessi dei creditori o per il sollecito svol</w:t>
      </w:r>
      <w:r>
        <w:rPr>
          <w:rFonts w:ascii="Bookman Old Style" w:eastAsia="Bookman Old Style" w:hAnsi="Bookman Old Style" w:cs="Bookman Old Style"/>
          <w:i/>
        </w:rPr>
        <w:t>gimento della procedura</w:t>
      </w:r>
      <w:r>
        <w:rPr>
          <w:rFonts w:ascii="Bookman Old Style" w:eastAsia="Bookman Old Style" w:hAnsi="Bookman Old Style" w:cs="Bookman Old Style"/>
        </w:rPr>
        <w:t>”.</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altri termini, già sul piano della normazione primaria del codice emerge un sistema incentrato su di un </w:t>
      </w:r>
      <w:r>
        <w:rPr>
          <w:rFonts w:ascii="Bookman Old Style" w:eastAsia="Bookman Old Style" w:hAnsi="Bookman Old Style" w:cs="Bookman Old Style"/>
          <w:b/>
        </w:rPr>
        <w:t>potenziale “doppio binario”</w:t>
      </w:r>
      <w:r>
        <w:rPr>
          <w:rFonts w:ascii="Bookman Old Style" w:eastAsia="Bookman Old Style" w:hAnsi="Bookman Old Style" w:cs="Bookman Old Style"/>
        </w:rPr>
        <w:t>, sistema costruito grossomodo su di un rapporto “regola/eccezione”:</w:t>
      </w:r>
    </w:p>
    <w:p w:rsidR="00476EFD" w:rsidRDefault="00AE2D5C">
      <w:pPr>
        <w:numPr>
          <w:ilvl w:val="0"/>
          <w:numId w:val="1"/>
        </w:numPr>
        <w:spacing w:after="0"/>
        <w:contextualSpacing/>
        <w:jc w:val="both"/>
      </w:pPr>
      <w:r>
        <w:rPr>
          <w:rFonts w:ascii="Bookman Old Style" w:eastAsia="Bookman Old Style" w:hAnsi="Bookman Old Style" w:cs="Bookman Old Style"/>
        </w:rPr>
        <w:t>da un lato, il meccani</w:t>
      </w:r>
      <w:r>
        <w:rPr>
          <w:rFonts w:ascii="Bookman Old Style" w:eastAsia="Bookman Old Style" w:hAnsi="Bookman Old Style" w:cs="Bookman Old Style"/>
        </w:rPr>
        <w:t xml:space="preserve">smo “telematico”, il quale – nella prospettiva della novella del 2016 – rappresenta l’opzione </w:t>
      </w:r>
      <w:r>
        <w:rPr>
          <w:rFonts w:ascii="Bookman Old Style" w:eastAsia="Bookman Old Style" w:hAnsi="Bookman Old Style" w:cs="Bookman Old Style"/>
          <w:i/>
        </w:rPr>
        <w:t>standard</w:t>
      </w:r>
      <w:r>
        <w:rPr>
          <w:rFonts w:ascii="Bookman Old Style" w:eastAsia="Bookman Old Style" w:hAnsi="Bookman Old Style" w:cs="Bookman Old Style"/>
        </w:rPr>
        <w:t xml:space="preserve"> (il ricorso alla quale non richiede alcuna valutazione e motivazione da parte del giudice, atteso che l’apprezzamento sul punto risulta essere già stato </w:t>
      </w:r>
      <w:r>
        <w:rPr>
          <w:rFonts w:ascii="Bookman Old Style" w:eastAsia="Bookman Old Style" w:hAnsi="Bookman Old Style" w:cs="Bookman Old Style"/>
        </w:rPr>
        <w:t>operato a monte dal legislatore);</w:t>
      </w:r>
    </w:p>
    <w:p w:rsidR="00476EFD" w:rsidRDefault="00AE2D5C">
      <w:pPr>
        <w:numPr>
          <w:ilvl w:val="0"/>
          <w:numId w:val="1"/>
        </w:numPr>
        <w:contextualSpacing/>
        <w:jc w:val="both"/>
      </w:pPr>
      <w:r>
        <w:rPr>
          <w:rFonts w:ascii="Bookman Old Style" w:eastAsia="Bookman Old Style" w:hAnsi="Bookman Old Style" w:cs="Bookman Old Style"/>
        </w:rPr>
        <w:t>dall’altro lato, il meccanismo “analogico”, il quale si configura nei termini di un’alternativa alla quale il giudice validamente può ricorrere nel singolo caso di specie, esercitando quel potere discrezionale che il legis</w:t>
      </w:r>
      <w:r>
        <w:rPr>
          <w:rFonts w:ascii="Bookman Old Style" w:eastAsia="Bookman Old Style" w:hAnsi="Bookman Old Style" w:cs="Bookman Old Style"/>
        </w:rPr>
        <w:t>latore gli attribuisce.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Non è questa la sede per approfondire il discorso sull’ambito della discrezionalità attribuita al giudice dell’esecuzione dall’art. 569, quarto comma, c.p.c.</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Piuttosto, quel che mi preme sottolineare è come lo stesso legis</w:t>
      </w:r>
      <w:r>
        <w:rPr>
          <w:rFonts w:ascii="Bookman Old Style" w:eastAsia="Bookman Old Style" w:hAnsi="Bookman Old Style" w:cs="Bookman Old Style"/>
        </w:rPr>
        <w:t>latore abbia tendenzialmente configurato il rapporto tra vendita “telematica” e vendita “analogica” in termini di una vera e propria alternativa (nel senso, cioè, che l’una esclude l’altra).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Infatti, la clausola di salvaguardia dell’art. 569, quarto c</w:t>
      </w:r>
      <w:r>
        <w:rPr>
          <w:rFonts w:ascii="Bookman Old Style" w:eastAsia="Bookman Old Style" w:hAnsi="Bookman Old Style" w:cs="Bookman Old Style"/>
        </w:rPr>
        <w:t>omma, c.p.c. (“</w:t>
      </w:r>
      <w:r>
        <w:rPr>
          <w:rFonts w:ascii="Bookman Old Style" w:eastAsia="Bookman Old Style" w:hAnsi="Bookman Old Style" w:cs="Bookman Old Style"/>
          <w:i/>
        </w:rPr>
        <w:t>salvo che sia pregiudizievole per gli interessi dei creditori o per il sollecito svolgimento della procedura</w:t>
      </w:r>
      <w:r>
        <w:rPr>
          <w:rFonts w:ascii="Bookman Old Style" w:eastAsia="Bookman Old Style" w:hAnsi="Bookman Old Style" w:cs="Bookman Old Style"/>
        </w:rPr>
        <w:t xml:space="preserve">”) si sostanzia nella possibilità di escludere </w:t>
      </w:r>
      <w:r>
        <w:rPr>
          <w:rFonts w:ascii="Bookman Old Style" w:eastAsia="Bookman Old Style" w:hAnsi="Bookman Old Style" w:cs="Bookman Old Style"/>
          <w:i/>
        </w:rPr>
        <w:t>tout court</w:t>
      </w:r>
      <w:r>
        <w:rPr>
          <w:rFonts w:ascii="Bookman Old Style" w:eastAsia="Bookman Old Style" w:hAnsi="Bookman Old Style" w:cs="Bookman Old Style"/>
        </w:rPr>
        <w:t xml:space="preserve"> dell’utilizzo delle modalità telematiche.</w:t>
      </w:r>
    </w:p>
    <w:p w:rsidR="00476EFD" w:rsidRDefault="00476EFD">
      <w:pPr>
        <w:jc w:val="both"/>
        <w:rPr>
          <w:rFonts w:ascii="Bookman Old Style" w:eastAsia="Bookman Old Style" w:hAnsi="Bookman Old Style" w:cs="Bookman Old Style"/>
        </w:rPr>
      </w:pPr>
    </w:p>
    <w:p w:rsidR="00476EFD" w:rsidRDefault="00AE2D5C">
      <w:pPr>
        <w:jc w:val="both"/>
        <w:rPr>
          <w:rFonts w:ascii="Bookman Old Style" w:eastAsia="Bookman Old Style" w:hAnsi="Bookman Old Style" w:cs="Bookman Old Style"/>
          <w:b/>
        </w:rPr>
      </w:pPr>
      <w:r>
        <w:rPr>
          <w:rFonts w:ascii="Bookman Old Style" w:eastAsia="Bookman Old Style" w:hAnsi="Bookman Old Style" w:cs="Bookman Old Style"/>
        </w:rPr>
        <w:t xml:space="preserve">     </w:t>
      </w:r>
      <w:r>
        <w:rPr>
          <w:rFonts w:ascii="Bookman Old Style" w:eastAsia="Bookman Old Style" w:hAnsi="Bookman Old Style" w:cs="Bookman Old Style"/>
          <w:b/>
        </w:rPr>
        <w:t>2. La vendita telematica ed</w:t>
      </w:r>
      <w:r>
        <w:rPr>
          <w:rFonts w:ascii="Bookman Old Style" w:eastAsia="Bookman Old Style" w:hAnsi="Bookman Old Style" w:cs="Bookman Old Style"/>
          <w:b/>
        </w:rPr>
        <w:t xml:space="preserve"> il problema della barriera “tecnologica”: la vendita sincrona mista.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Il discorso che precede assume un significativo rilievo nel momento in cui ci si pone dinanzi all’alternativa tra le diverse tipologie di vendita contemplate dal D.M. n. 32 del 201</w:t>
      </w:r>
      <w:r>
        <w:rPr>
          <w:rFonts w:ascii="Bookman Old Style" w:eastAsia="Bookman Old Style" w:hAnsi="Bookman Old Style" w:cs="Bookman Old Style"/>
        </w:rPr>
        <w:t>5 (sincrona pura; sincrona mista ed asincrona).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Si è già visto come – nell’orientare la propria scelta tra le diverse modalità di vendita telematica – il giudice dell’esecuzione non possa non tener conto anche dell’esigenza di assicurare l’</w:t>
      </w:r>
      <w:r>
        <w:rPr>
          <w:rFonts w:ascii="Bookman Old Style" w:eastAsia="Bookman Old Style" w:hAnsi="Bookman Old Style" w:cs="Bookman Old Style"/>
          <w:b/>
        </w:rPr>
        <w:t>efficacia e</w:t>
      </w:r>
      <w:r>
        <w:rPr>
          <w:rFonts w:ascii="Bookman Old Style" w:eastAsia="Bookman Old Style" w:hAnsi="Bookman Old Style" w:cs="Bookman Old Style"/>
          <w:b/>
        </w:rPr>
        <w:t>d efficienza</w:t>
      </w:r>
      <w:r>
        <w:rPr>
          <w:rFonts w:ascii="Bookman Old Style" w:eastAsia="Bookman Old Style" w:hAnsi="Bookman Old Style" w:cs="Bookman Old Style"/>
        </w:rPr>
        <w:t xml:space="preserve"> della vendita nel suo complesso: non bisogna infatti dimenticare come obiettivo dell’espropriazione forzata sia quello di realizzare il massimo risultato economico della vendita (nell’interesse tanto dei creditori, quanto del debitore esecutat</w:t>
      </w:r>
      <w:r>
        <w:rPr>
          <w:rFonts w:ascii="Bookman Old Style" w:eastAsia="Bookman Old Style" w:hAnsi="Bookman Old Style" w:cs="Bookman Old Style"/>
        </w:rPr>
        <w:t xml:space="preserve">o).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Orbene, è innegabile come il principale dubbio circa l’efficacia e l’efficienza della vendita “telematica” nasca da una constatazione empirica di fondo (sulla quale, credo, ci sia sostanziale concordia di vedute) e, cioè, che la vendita telematic</w:t>
      </w:r>
      <w:r>
        <w:rPr>
          <w:rFonts w:ascii="Bookman Old Style" w:eastAsia="Bookman Old Style" w:hAnsi="Bookman Old Style" w:cs="Bookman Old Style"/>
        </w:rPr>
        <w:t xml:space="preserve">a presenta una </w:t>
      </w:r>
      <w:r>
        <w:rPr>
          <w:rFonts w:ascii="Bookman Old Style" w:eastAsia="Bookman Old Style" w:hAnsi="Bookman Old Style" w:cs="Bookman Old Style"/>
          <w:b/>
        </w:rPr>
        <w:t>“barriera” d’ingresso</w:t>
      </w:r>
      <w:r>
        <w:rPr>
          <w:rFonts w:ascii="Bookman Old Style" w:eastAsia="Bookman Old Style" w:hAnsi="Bookman Old Style" w:cs="Bookman Old Style"/>
        </w:rPr>
        <w:t xml:space="preserve"> del tutto assente nella vendita analogica.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La barriera di cui parlo nasce dalla peculiarità dello strumento necessario per la partecipazione alla vendita: in altri termini, occorre una dotazione “tecnologica” (PEC; firma digitale; conto corrente; ecc.) ed una “familiarità” con tali strumenti.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Il rischio insito nel passaggio da un sistema di vendita analogica tradizionale ad uno caratterizzato dal ricorso esclusivo alle modalità telematiche è, allora, quello di tagliare fuori una potenziale area di potenziali interessati ed offerenti, ovver</w:t>
      </w:r>
      <w:r>
        <w:rPr>
          <w:rFonts w:ascii="Bookman Old Style" w:eastAsia="Bookman Old Style" w:hAnsi="Bookman Old Style" w:cs="Bookman Old Style"/>
        </w:rPr>
        <w:t>osia, l’area di coloro che – per le ragioni più varie (culturali, sociali, ecc.) – non sono in grado o non hanno un sufficiente interesse a superare quella barriera all’ingresso. Rischio che porta con sé quello di una minore efficacia della vendita forzata</w:t>
      </w:r>
      <w:r>
        <w:rPr>
          <w:rFonts w:ascii="Bookman Old Style" w:eastAsia="Bookman Old Style" w:hAnsi="Bookman Old Style" w:cs="Bookman Old Style"/>
        </w:rPr>
        <w:t xml:space="preserve"> e, conseguentemente, del sistema nel suo complesso.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questa prospettiva, la </w:t>
      </w:r>
      <w:r>
        <w:rPr>
          <w:rFonts w:ascii="Bookman Old Style" w:eastAsia="Bookman Old Style" w:hAnsi="Bookman Old Style" w:cs="Bookman Old Style"/>
          <w:b/>
        </w:rPr>
        <w:t>scelta di un sistema di vendita sincrona mista</w:t>
      </w:r>
      <w:r>
        <w:rPr>
          <w:rFonts w:ascii="Bookman Old Style" w:eastAsia="Bookman Old Style" w:hAnsi="Bookman Old Style" w:cs="Bookman Old Style"/>
        </w:rPr>
        <w:t xml:space="preserve"> rappresenta, quanto meno in prima battuta, un’opzione che mira a superare quella barriera. La caratteristica principale di tale modalità di vendita è, infatti, quella di assicurare una forma di “coesistenza” dei due meccanismi di vendita, quello analogico</w:t>
      </w:r>
      <w:r>
        <w:rPr>
          <w:rFonts w:ascii="Bookman Old Style" w:eastAsia="Bookman Old Style" w:hAnsi="Bookman Old Style" w:cs="Bookman Old Style"/>
        </w:rPr>
        <w:t xml:space="preserve"> tradizionale e quello nuovo telematico.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In un’ottica di bilanciamento di interessi, nondimeno, tale opzione presenta alcuni inconvenienti non di poco conto sui quali occorre soffermare l’attenzione.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Anzitutto, un primo problema sotteso alla vend</w:t>
      </w:r>
      <w:r>
        <w:rPr>
          <w:rFonts w:ascii="Bookman Old Style" w:eastAsia="Bookman Old Style" w:hAnsi="Bookman Old Style" w:cs="Bookman Old Style"/>
        </w:rPr>
        <w:t xml:space="preserve">ita sincrona mista è insito nella sua stessa natura: la “mista” dà infatti luogo ad una </w:t>
      </w:r>
      <w:r>
        <w:rPr>
          <w:rFonts w:ascii="Bookman Old Style" w:eastAsia="Bookman Old Style" w:hAnsi="Bookman Old Style" w:cs="Bookman Old Style"/>
          <w:b/>
        </w:rPr>
        <w:t>“innaturale” simultanea presenza</w:t>
      </w:r>
      <w:r>
        <w:rPr>
          <w:rFonts w:ascii="Bookman Old Style" w:eastAsia="Bookman Old Style" w:hAnsi="Bookman Old Style" w:cs="Bookman Old Style"/>
        </w:rPr>
        <w:t xml:space="preserve"> di quei due meccanismi di vendita che – come sopra già evidenziato – il legislatore primario ha configurato come alternativi (rispettiv</w:t>
      </w:r>
      <w:r>
        <w:rPr>
          <w:rFonts w:ascii="Bookman Old Style" w:eastAsia="Bookman Old Style" w:hAnsi="Bookman Old Style" w:cs="Bookman Old Style"/>
        </w:rPr>
        <w:t>amente il meccanismo analogico e quello telematico): in altri termini, il “doppio binario” previsto dall’art. 569, quarto comma, c.p.c. non si realizza in via alternativa, bensì “coesiste” nell’ambito della medesima vendita.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Con ciò non voglio sostene</w:t>
      </w:r>
      <w:r>
        <w:rPr>
          <w:rFonts w:ascii="Bookman Old Style" w:eastAsia="Bookman Old Style" w:hAnsi="Bookman Old Style" w:cs="Bookman Old Style"/>
        </w:rPr>
        <w:t>re, ovviamente, che la vendita sincrona mista sia un’opzione illegittima (od una forma di “aggiramento” della previsione legislativa): si tratta infatti pur sempre di una tipologia di vendita telematica espressamente disciplinata dal D.M. n. 32 del 2015 (e</w:t>
      </w:r>
      <w:r>
        <w:rPr>
          <w:rFonts w:ascii="Bookman Old Style" w:eastAsia="Bookman Old Style" w:hAnsi="Bookman Old Style" w:cs="Bookman Old Style"/>
        </w:rPr>
        <w:t>, quindi, pienamente legittima).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Tuttavia, non si può ignorare come la logica sottesa alla vendita analogica sia del tutto diversa da quella della vendita telematica in senso stretto, posto che diversa è la relativa infrastruttura di fondo.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A ben</w:t>
      </w:r>
      <w:r>
        <w:rPr>
          <w:rFonts w:ascii="Bookman Old Style" w:eastAsia="Bookman Old Style" w:hAnsi="Bookman Old Style" w:cs="Bookman Old Style"/>
        </w:rPr>
        <w:t xml:space="preserve"> vedere, la “simultanea” operatività dei due meccanismi è foriera di problemi non sempre di semplice soluzione.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Mi limito a fare due esempi.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i/>
        </w:rPr>
        <w:t xml:space="preserve">     La gara ed i rilanci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Come regolare le modalità di svolgimento della gara posto che il rilancio dell</w:t>
      </w:r>
      <w:r>
        <w:rPr>
          <w:rFonts w:ascii="Bookman Old Style" w:eastAsia="Bookman Old Style" w:hAnsi="Bookman Old Style" w:cs="Bookman Old Style"/>
        </w:rPr>
        <w:t>’offerente telematico ha luogo con uno strumento (quello tecnologico) diverso da quelle dell’offerente analogico?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Sotto quest’ultimo profilo è evidente come non basti dare priorità a chi alzi la mano per primo (come sempre accaduto nel classico incant</w:t>
      </w:r>
      <w:r>
        <w:rPr>
          <w:rFonts w:ascii="Bookman Old Style" w:eastAsia="Bookman Old Style" w:hAnsi="Bookman Old Style" w:cs="Bookman Old Style"/>
        </w:rPr>
        <w:t>o analogico).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Parimenti non può ignorarsi come i “tempi fisiologici” del rilancio telematico (quelli cioè necessari perché l’offerta in aumento pervenga attraverso l’infrastruttura telematica) inevitabilmente non coincidano con quelli del rilancio ana</w:t>
      </w:r>
      <w:r>
        <w:rPr>
          <w:rFonts w:ascii="Bookman Old Style" w:eastAsia="Bookman Old Style" w:hAnsi="Bookman Old Style" w:cs="Bookman Old Style"/>
        </w:rPr>
        <w:t>logico (dove basta un cenno ed uno sguardo).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i/>
        </w:rPr>
        <w:t xml:space="preserve">     Il mancato funzionamento dei servizi informatici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Come regolarsi nel caso di un malfunzionamento in corso di gara (eventualità che anche i migliori gestori della vendita telematica non possono del tutto</w:t>
      </w:r>
      <w:r>
        <w:rPr>
          <w:rFonts w:ascii="Bookman Old Style" w:eastAsia="Bookman Old Style" w:hAnsi="Bookman Old Style" w:cs="Bookman Old Style"/>
        </w:rPr>
        <w:t xml:space="preserve"> scongiurare)?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Si pensi al caso dell’offerente telematico che lamenti un malfunzionamento del sistema, oppure al caso del malfunzionamento che riguardi direttamente la struttura del delegato.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Non v’è dubbio che si tratta di una situazione ipotizz</w:t>
      </w:r>
      <w:r>
        <w:rPr>
          <w:rFonts w:ascii="Bookman Old Style" w:eastAsia="Bookman Old Style" w:hAnsi="Bookman Old Style" w:cs="Bookman Old Style"/>
        </w:rPr>
        <w:t>abile anche nelle altre ipotesi di vendita telematica, ma la differenza nella vendita sincrona mista è evidente. Infatti, non essendo eliminato il momento della presenza “reale” degli offerenti “analogici” davanti al delegato, appare problematico “gestire”</w:t>
      </w:r>
      <w:r>
        <w:rPr>
          <w:rFonts w:ascii="Bookman Old Style" w:eastAsia="Bookman Old Style" w:hAnsi="Bookman Old Style" w:cs="Bookman Old Style"/>
        </w:rPr>
        <w:t xml:space="preserve"> il malfunzionamento salvaguardando le esigenze di segretezza della vendita: gli </w:t>
      </w:r>
      <w:r>
        <w:rPr>
          <w:rFonts w:ascii="Bookman Old Style" w:eastAsia="Bookman Old Style" w:hAnsi="Bookman Old Style" w:cs="Bookman Old Style"/>
        </w:rPr>
        <w:lastRenderedPageBreak/>
        <w:t>offerenti in tal modo vengono in contatto tra loro, pregiudicandosi lo scopo perseguito attraverso il ricorso all’infrastruttura telematica.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Non escludo che una soluzione</w:t>
      </w:r>
      <w:r>
        <w:rPr>
          <w:rFonts w:ascii="Bookman Old Style" w:eastAsia="Bookman Old Style" w:hAnsi="Bookman Old Style" w:cs="Bookman Old Style"/>
        </w:rPr>
        <w:t xml:space="preserve"> possa in ogni caso trovarsi (il più delle volte facendo uso del buon senso), ma il prezzo da pagare è spesso una complicazione notevole, il che appare contrario agli obiettivi perseguiti dal legislatore con la generalizzazione della vendita telematica com</w:t>
      </w:r>
      <w:r>
        <w:rPr>
          <w:rFonts w:ascii="Bookman Old Style" w:eastAsia="Bookman Old Style" w:hAnsi="Bookman Old Style" w:cs="Bookman Old Style"/>
        </w:rPr>
        <w:t xml:space="preserve">e opzione </w:t>
      </w:r>
      <w:r>
        <w:rPr>
          <w:rFonts w:ascii="Bookman Old Style" w:eastAsia="Bookman Old Style" w:hAnsi="Bookman Old Style" w:cs="Bookman Old Style"/>
          <w:i/>
        </w:rPr>
        <w:t xml:space="preserve">standard </w:t>
      </w:r>
      <w:r>
        <w:rPr>
          <w:rFonts w:ascii="Bookman Old Style" w:eastAsia="Bookman Old Style" w:hAnsi="Bookman Old Style" w:cs="Bookman Old Style"/>
        </w:rPr>
        <w:t>di vendita forzata.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Ciò senza contare il rischio che venga a crearsi un circolo “vizioso” disincentivante per l’offerta con modalità telematica.</w:t>
      </w:r>
      <w:r>
        <w:rPr>
          <w:rFonts w:ascii="Bookman Old Style" w:eastAsia="Bookman Old Style" w:hAnsi="Bookman Old Style" w:cs="Bookman Old Style"/>
          <w:vertAlign w:val="superscript"/>
        </w:rPr>
        <w:footnoteReference w:id="3"/>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generale, poi, non può ignorarsi come la vendita mista presenti un inconvenien</w:t>
      </w:r>
      <w:r>
        <w:rPr>
          <w:rFonts w:ascii="Bookman Old Style" w:eastAsia="Bookman Old Style" w:hAnsi="Bookman Old Style" w:cs="Bookman Old Style"/>
        </w:rPr>
        <w:t xml:space="preserve">te derivante proprio dal suo essere “sincrona” (ovverosia, caratterizzata dal fatto che la gara deve aver luogo nella medesima unità di tempo): invero, la </w:t>
      </w:r>
      <w:r>
        <w:rPr>
          <w:rFonts w:ascii="Bookman Old Style" w:eastAsia="Bookman Old Style" w:hAnsi="Bookman Old Style" w:cs="Bookman Old Style"/>
          <w:b/>
        </w:rPr>
        <w:t>necessaria “sincronia”</w:t>
      </w:r>
      <w:r>
        <w:rPr>
          <w:rFonts w:ascii="Bookman Old Style" w:eastAsia="Bookman Old Style" w:hAnsi="Bookman Old Style" w:cs="Bookman Old Style"/>
        </w:rPr>
        <w:t xml:space="preserve"> comporta che ogni eventuale problema tecnico dell’infrastruttura – nella misur</w:t>
      </w:r>
      <w:r>
        <w:rPr>
          <w:rFonts w:ascii="Bookman Old Style" w:eastAsia="Bookman Old Style" w:hAnsi="Bookman Old Style" w:cs="Bookman Old Style"/>
        </w:rPr>
        <w:t xml:space="preserve">a in cui impedisca la simultanea connessione – sia potenzialmente idoneo a riflettere i propri effetti sulla vendita.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Le osservazioni che precedono inducono alla considerazione di una seconda problematica sottesa ad un’eventuale opzione per la vendit</w:t>
      </w:r>
      <w:r>
        <w:rPr>
          <w:rFonts w:ascii="Bookman Old Style" w:eastAsia="Bookman Old Style" w:hAnsi="Bookman Old Style" w:cs="Bookman Old Style"/>
        </w:rPr>
        <w:t>a sincrona mista (che va oltre il mero profilo tecnologico appena evidenziato).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Occorre cioè considerare che – una volta individuata la </w:t>
      </w:r>
      <w:r>
        <w:rPr>
          <w:rFonts w:ascii="Bookman Old Style" w:eastAsia="Bookman Old Style" w:hAnsi="Bookman Old Style" w:cs="Bookman Old Style"/>
          <w:i/>
        </w:rPr>
        <w:t xml:space="preserve">ratio </w:t>
      </w:r>
      <w:r>
        <w:rPr>
          <w:rFonts w:ascii="Bookman Old Style" w:eastAsia="Bookman Old Style" w:hAnsi="Bookman Old Style" w:cs="Bookman Old Style"/>
        </w:rPr>
        <w:t>del ricorso alla vendita telematica nell’esigenza di assicurare la massima “segretezza” (anche nella fase del</w:t>
      </w:r>
      <w:r>
        <w:rPr>
          <w:rFonts w:ascii="Bookman Old Style" w:eastAsia="Bookman Old Style" w:hAnsi="Bookman Old Style" w:cs="Bookman Old Style"/>
        </w:rPr>
        <w:t xml:space="preserve">la gara) – la vendita sincrona mista appare del tutto inidonea ad assicurare il raggiungimento di tale obiettivo e ciò per una ragione molto semplice: </w:t>
      </w:r>
      <w:r>
        <w:rPr>
          <w:rFonts w:ascii="Bookman Old Style" w:eastAsia="Bookman Old Style" w:hAnsi="Bookman Old Style" w:cs="Bookman Old Style"/>
          <w:b/>
        </w:rPr>
        <w:t>non viene eliminato il momento “reale” dell’asta</w:t>
      </w:r>
      <w:r>
        <w:rPr>
          <w:rFonts w:ascii="Bookman Old Style" w:eastAsia="Bookman Old Style" w:hAnsi="Bookman Old Style" w:cs="Bookman Old Style"/>
        </w:rPr>
        <w:t>, il momento nel quale gli offerenti sono cioè fisicament</w:t>
      </w:r>
      <w:r>
        <w:rPr>
          <w:rFonts w:ascii="Bookman Old Style" w:eastAsia="Bookman Old Style" w:hAnsi="Bookman Old Style" w:cs="Bookman Old Style"/>
        </w:rPr>
        <w:t>e presenti (e, quindi, possono influenzarsi nelle determinazioni da adottare).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altri termini, appare evidente come con la vendita sincrona mista si “aggiunga” alla vendita tradizionale un’infrastruttura anche molto complessa (e, come evidenziato, f</w:t>
      </w:r>
      <w:r>
        <w:rPr>
          <w:rFonts w:ascii="Bookman Old Style" w:eastAsia="Bookman Old Style" w:hAnsi="Bookman Old Style" w:cs="Bookman Old Style"/>
        </w:rPr>
        <w:t>onte di rilevanti complicazioni), senza tuttavia che dalla stessa possa conseguirsi un risultato utile significativo ed apprezzabile.</w:t>
      </w:r>
      <w:r>
        <w:rPr>
          <w:rFonts w:ascii="Bookman Old Style" w:eastAsia="Bookman Old Style" w:hAnsi="Bookman Old Style" w:cs="Bookman Old Style"/>
          <w:vertAlign w:val="superscript"/>
        </w:rPr>
        <w:footnoteReference w:id="4"/>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Alle considerazioni che precedono può poi aggiungersene un’ulteriore. A ben vedere, l’argomento della “barriera tecn</w:t>
      </w:r>
      <w:r>
        <w:rPr>
          <w:rFonts w:ascii="Bookman Old Style" w:eastAsia="Bookman Old Style" w:hAnsi="Bookman Old Style" w:cs="Bookman Old Style"/>
        </w:rPr>
        <w:t>ologica”, in realtà, appare provare troppo: è sotto gli occhi di tutti come le vendite siano già caratterizzate da un’area di “intermediazione” da parte di soggetti terzi, soggetti che fungono da ausilio per i potenziali interessati.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E’ ampiamente pre</w:t>
      </w:r>
      <w:r>
        <w:rPr>
          <w:rFonts w:ascii="Bookman Old Style" w:eastAsia="Bookman Old Style" w:hAnsi="Bookman Old Style" w:cs="Bookman Old Style"/>
        </w:rPr>
        <w:t>vedibile, allora, come un fenomeno analogo si possa verificare anche in relazione all’offerta telematica, in tal modo attenuandosi gli effetti pregiudizievoli della “barriera tecnologica”.</w:t>
      </w:r>
      <w:r>
        <w:rPr>
          <w:rFonts w:ascii="Bookman Old Style" w:eastAsia="Bookman Old Style" w:hAnsi="Bookman Old Style" w:cs="Bookman Old Style"/>
          <w:vertAlign w:val="superscript"/>
        </w:rPr>
        <w:footnoteReference w:id="5"/>
      </w:r>
    </w:p>
    <w:p w:rsidR="00476EFD" w:rsidRDefault="00476EFD">
      <w:pPr>
        <w:jc w:val="both"/>
        <w:rPr>
          <w:rFonts w:ascii="Bookman Old Style" w:eastAsia="Bookman Old Style" w:hAnsi="Bookman Old Style" w:cs="Bookman Old Style"/>
        </w:rPr>
      </w:pP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b/>
        </w:rPr>
        <w:t>3. La vendita asincrona nella prospettiva del c.d. doppio bi</w:t>
      </w:r>
      <w:r>
        <w:rPr>
          <w:rFonts w:ascii="Bookman Old Style" w:eastAsia="Bookman Old Style" w:hAnsi="Bookman Old Style" w:cs="Bookman Old Style"/>
          <w:b/>
        </w:rPr>
        <w:t>nario.</w:t>
      </w:r>
      <w:r>
        <w:rPr>
          <w:rFonts w:ascii="Bookman Old Style" w:eastAsia="Bookman Old Style" w:hAnsi="Bookman Old Style" w:cs="Bookman Old Style"/>
        </w:rPr>
        <w:t xml:space="preserve">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Le complicazioni collegate al sistema della vendita sincrona mista e, in generale, le difficoltà insite in un sistema di vendita “sincrona” appaiono tali da indurre, a mio giudizio, a privilegiare un’opzione differente, un’opzione fondata cioè</w:t>
      </w:r>
      <w:r>
        <w:rPr>
          <w:rFonts w:ascii="Bookman Old Style" w:eastAsia="Bookman Old Style" w:hAnsi="Bookman Old Style" w:cs="Bookman Old Style"/>
        </w:rPr>
        <w:t xml:space="preserve"> sul ricorso al meccanismo della vendita asincrona ma nel quadro della più generale prospettiva del doppio binario previsto dall’art. 569, quarto comma, c.p.c.</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Non si tratta di sottovalutare il problema della “barriera tecnologica” all’ingresso, ma di</w:t>
      </w:r>
      <w:r>
        <w:rPr>
          <w:rFonts w:ascii="Bookman Old Style" w:eastAsia="Bookman Old Style" w:hAnsi="Bookman Old Style" w:cs="Bookman Old Style"/>
        </w:rPr>
        <w:t xml:space="preserve"> fornire un tentativo di soluzione diverso: anziché consentire la “coesistenza” di due meccanismi di vendita profondamente disomogenei (quello analogico e quello telematico), appare preferibile mantenere distinti i due sistemi, facendo cioè un uso adeguato</w:t>
      </w:r>
      <w:r>
        <w:rPr>
          <w:rFonts w:ascii="Bookman Old Style" w:eastAsia="Bookman Old Style" w:hAnsi="Bookman Old Style" w:cs="Bookman Old Style"/>
        </w:rPr>
        <w:t xml:space="preserve"> della </w:t>
      </w:r>
      <w:r>
        <w:rPr>
          <w:rFonts w:ascii="Bookman Old Style" w:eastAsia="Bookman Old Style" w:hAnsi="Bookman Old Style" w:cs="Bookman Old Style"/>
          <w:b/>
        </w:rPr>
        <w:t>facoltà di opzione</w:t>
      </w:r>
      <w:r>
        <w:rPr>
          <w:rFonts w:ascii="Bookman Old Style" w:eastAsia="Bookman Old Style" w:hAnsi="Bookman Old Style" w:cs="Bookman Old Style"/>
        </w:rPr>
        <w:t xml:space="preserve"> per la vendita analogica in tutti quei casi in cui – per le ragioni più varie – il ricorso alla modalità telematica possa apparire inidonea al raggiungimento degli obiettivi di efficacia della vendita forzata (perché più forte ris</w:t>
      </w:r>
      <w:r>
        <w:rPr>
          <w:rFonts w:ascii="Bookman Old Style" w:eastAsia="Bookman Old Style" w:hAnsi="Bookman Old Style" w:cs="Bookman Old Style"/>
        </w:rPr>
        <w:t>ulterebbe l’effetto dissuasivo derivante dalla barriera tecnologica).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altri termini, piuttosto che consentire la simultanea presenza di un offerente analogico ed uno telematico, si può scegliere di individuare – sulla scorta di alcune caratteristiche (prezzo; tipologia di bene; ecc.) – un’area di vendite da svolgere </w:t>
      </w:r>
      <w:r>
        <w:rPr>
          <w:rFonts w:ascii="Bookman Old Style" w:eastAsia="Bookman Old Style" w:hAnsi="Bookman Old Style" w:cs="Bookman Old Style"/>
        </w:rPr>
        <w:t>esclusivamente con modalità analogiche nell’esercizio della facoltà prevista dall’art. 569, quarto comma, c.p.c.</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Ovviamente, il ricorso alla facoltà di </w:t>
      </w:r>
      <w:r>
        <w:rPr>
          <w:rFonts w:ascii="Bookman Old Style" w:eastAsia="Bookman Old Style" w:hAnsi="Bookman Old Style" w:cs="Bookman Old Style"/>
          <w:i/>
        </w:rPr>
        <w:t xml:space="preserve">opt out </w:t>
      </w:r>
      <w:r>
        <w:rPr>
          <w:rFonts w:ascii="Bookman Old Style" w:eastAsia="Bookman Old Style" w:hAnsi="Bookman Old Style" w:cs="Bookman Old Style"/>
        </w:rPr>
        <w:t>rispetto alla vendita telematica potrà tener conto anche dei tempi di “adeguamento” alla no</w:t>
      </w:r>
      <w:r>
        <w:rPr>
          <w:rFonts w:ascii="Bookman Old Style" w:eastAsia="Bookman Old Style" w:hAnsi="Bookman Old Style" w:cs="Bookman Old Style"/>
        </w:rPr>
        <w:t>vità e, quindi, aver luogo con una maggiore larghezza nel primo periodo applicativo.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Nel contempo, anche nei casi in cui la vendita sia autorizzata con modalità telematica si possono individuare </w:t>
      </w:r>
      <w:r>
        <w:rPr>
          <w:rFonts w:ascii="Bookman Old Style" w:eastAsia="Bookman Old Style" w:hAnsi="Bookman Old Style" w:cs="Bookman Old Style"/>
          <w:b/>
        </w:rPr>
        <w:t>ulteriori strumenti</w:t>
      </w:r>
      <w:r>
        <w:rPr>
          <w:rFonts w:ascii="Bookman Old Style" w:eastAsia="Bookman Old Style" w:hAnsi="Bookman Old Style" w:cs="Bookman Old Style"/>
        </w:rPr>
        <w:t xml:space="preserve"> per ridimensionare la portata del problema della barriera tecnologica: ad esempio, la previsione di modalità semplificate di rilascio delle firme digitali con la collaborazione dei soggetti individuati come gestori della vendita; la previsione di un suppo</w:t>
      </w:r>
      <w:r>
        <w:rPr>
          <w:rFonts w:ascii="Bookman Old Style" w:eastAsia="Bookman Old Style" w:hAnsi="Bookman Old Style" w:cs="Bookman Old Style"/>
        </w:rPr>
        <w:t xml:space="preserve">rto informativo da parte di questi ultimi; la valorizzazione del custode giudiziario quale ausiliario per la liquidazione e, quindi, quale soggetto in grado di fornire un supporto anche operativo ai potenziali offerenti.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Se ci si colloca in tale pro</w:t>
      </w:r>
      <w:r>
        <w:rPr>
          <w:rFonts w:ascii="Bookman Old Style" w:eastAsia="Bookman Old Style" w:hAnsi="Bookman Old Style" w:cs="Bookman Old Style"/>
        </w:rPr>
        <w:t>spettiva ed una volta individuate soluzioni alternative per il problema della barriera tecnologica, possono apprezzarsi maggiormente i vantaggi della modalità di vendita asincrona:</w:t>
      </w:r>
    </w:p>
    <w:p w:rsidR="00476EFD" w:rsidRDefault="00AE2D5C">
      <w:pPr>
        <w:numPr>
          <w:ilvl w:val="0"/>
          <w:numId w:val="3"/>
        </w:numPr>
        <w:spacing w:after="0"/>
        <w:contextualSpacing/>
        <w:jc w:val="both"/>
      </w:pPr>
      <w:r>
        <w:rPr>
          <w:rFonts w:ascii="Bookman Old Style" w:eastAsia="Bookman Old Style" w:hAnsi="Bookman Old Style" w:cs="Bookman Old Style"/>
        </w:rPr>
        <w:t>si tratta di una vendita con modalità esclusivamente telematiche, ragion pe</w:t>
      </w:r>
      <w:r>
        <w:rPr>
          <w:rFonts w:ascii="Bookman Old Style" w:eastAsia="Bookman Old Style" w:hAnsi="Bookman Old Style" w:cs="Bookman Old Style"/>
        </w:rPr>
        <w:t xml:space="preserve">r cui quelle </w:t>
      </w:r>
      <w:r>
        <w:rPr>
          <w:rFonts w:ascii="Bookman Old Style" w:eastAsia="Bookman Old Style" w:hAnsi="Bookman Old Style" w:cs="Bookman Old Style"/>
          <w:b/>
        </w:rPr>
        <w:t>esigenze di segretezza e di tutela contro il rischio di inquinamento dell’asta</w:t>
      </w:r>
      <w:r>
        <w:rPr>
          <w:rFonts w:ascii="Bookman Old Style" w:eastAsia="Bookman Old Style" w:hAnsi="Bookman Old Style" w:cs="Bookman Old Style"/>
        </w:rPr>
        <w:t xml:space="preserve"> che costituiscono la </w:t>
      </w:r>
      <w:r>
        <w:rPr>
          <w:rFonts w:ascii="Bookman Old Style" w:eastAsia="Bookman Old Style" w:hAnsi="Bookman Old Style" w:cs="Bookman Old Style"/>
          <w:i/>
        </w:rPr>
        <w:t xml:space="preserve">ratio </w:t>
      </w:r>
      <w:r>
        <w:rPr>
          <w:rFonts w:ascii="Bookman Old Style" w:eastAsia="Bookman Old Style" w:hAnsi="Bookman Old Style" w:cs="Bookman Old Style"/>
        </w:rPr>
        <w:t>della novella appaiono maggiormente assicurate;</w:t>
      </w:r>
    </w:p>
    <w:p w:rsidR="00476EFD" w:rsidRDefault="00AE2D5C">
      <w:pPr>
        <w:numPr>
          <w:ilvl w:val="0"/>
          <w:numId w:val="3"/>
        </w:numPr>
        <w:contextualSpacing/>
        <w:jc w:val="both"/>
      </w:pPr>
      <w:r>
        <w:rPr>
          <w:rFonts w:ascii="Bookman Old Style" w:eastAsia="Bookman Old Style" w:hAnsi="Bookman Old Style" w:cs="Bookman Old Style"/>
        </w:rPr>
        <w:t xml:space="preserve">si tratta di una vendita che </w:t>
      </w:r>
      <w:r>
        <w:rPr>
          <w:rFonts w:ascii="Bookman Old Style" w:eastAsia="Bookman Old Style" w:hAnsi="Bookman Old Style" w:cs="Bookman Old Style"/>
          <w:b/>
        </w:rPr>
        <w:t>non richiede la simultanea presenza degli offerenti e del de</w:t>
      </w:r>
      <w:r>
        <w:rPr>
          <w:rFonts w:ascii="Bookman Old Style" w:eastAsia="Bookman Old Style" w:hAnsi="Bookman Old Style" w:cs="Bookman Old Style"/>
          <w:b/>
        </w:rPr>
        <w:t>legato (o del giudice)</w:t>
      </w:r>
      <w:r>
        <w:rPr>
          <w:rFonts w:ascii="Bookman Old Style" w:eastAsia="Bookman Old Style" w:hAnsi="Bookman Old Style" w:cs="Bookman Old Style"/>
        </w:rPr>
        <w:t>, ragion per cui il rischio di malfunzionamenti tecnologici può essere più facilmente assorbito (divenendo piuttosto importante, sotto tale profilo, l’individuazione del termine di durata della gara).</w:t>
      </w:r>
    </w:p>
    <w:p w:rsidR="00476EFD" w:rsidRDefault="00476EFD">
      <w:pPr>
        <w:jc w:val="both"/>
        <w:rPr>
          <w:rFonts w:ascii="Bookman Old Style" w:eastAsia="Bookman Old Style" w:hAnsi="Bookman Old Style" w:cs="Bookman Old Style"/>
        </w:rPr>
      </w:pPr>
    </w:p>
    <w:p w:rsidR="00476EFD" w:rsidRDefault="00AE2D5C">
      <w:pPr>
        <w:jc w:val="both"/>
        <w:rPr>
          <w:rFonts w:ascii="Bookman Old Style" w:eastAsia="Bookman Old Style" w:hAnsi="Bookman Old Style" w:cs="Bookman Old Style"/>
          <w:b/>
        </w:rPr>
      </w:pPr>
      <w:r>
        <w:rPr>
          <w:rFonts w:ascii="Bookman Old Style" w:eastAsia="Bookman Old Style" w:hAnsi="Bookman Old Style" w:cs="Bookman Old Style"/>
        </w:rPr>
        <w:t xml:space="preserve">     </w:t>
      </w:r>
      <w:r>
        <w:rPr>
          <w:rFonts w:ascii="Bookman Old Style" w:eastAsia="Bookman Old Style" w:hAnsi="Bookman Old Style" w:cs="Bookman Old Style"/>
          <w:b/>
        </w:rPr>
        <w:t>4. I profili operativi dell</w:t>
      </w:r>
      <w:r>
        <w:rPr>
          <w:rFonts w:ascii="Bookman Old Style" w:eastAsia="Bookman Old Style" w:hAnsi="Bookman Old Style" w:cs="Bookman Old Style"/>
          <w:b/>
        </w:rPr>
        <w:t>’ordinanza di vendita telematica con modalità asincrona.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Sul piano operativo, resta da chiedersi quali sono gli snodi di un’ordinanza di vendita telematica con modalità asincrona.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proposito ne segnalo alcuni, non senza evidenziare un profilo g</w:t>
      </w:r>
      <w:r>
        <w:rPr>
          <w:rFonts w:ascii="Bookman Old Style" w:eastAsia="Bookman Old Style" w:hAnsi="Bookman Old Style" w:cs="Bookman Old Style"/>
        </w:rPr>
        <w:t>enerale da tenere sempre in considerazione: ovverosia, che la vendita telematica non costituisce una forma di vendita “diversa” da quella disciplinata dal codice di procedura civile.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In altre parole, “telematica” è unicamente l’infrastruttura di suppor</w:t>
      </w:r>
      <w:r>
        <w:rPr>
          <w:rFonts w:ascii="Bookman Old Style" w:eastAsia="Bookman Old Style" w:hAnsi="Bookman Old Style" w:cs="Bookman Old Style"/>
        </w:rPr>
        <w:t>to delle operazioni di vendita, le quali continueranno quindi ad essere disciplinate negli ordinari termini previsti dal codice (si pensi, in primo luogo, ai criteri per la deliberazione di ammissibilità delle offerte).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La costruzione nell’ordinanza d</w:t>
      </w:r>
      <w:r>
        <w:rPr>
          <w:rFonts w:ascii="Bookman Old Style" w:eastAsia="Bookman Old Style" w:hAnsi="Bookman Old Style" w:cs="Bookman Old Style"/>
        </w:rPr>
        <w:t xml:space="preserve">i delega di un infrastruttura telematica della vendita richiede anzitutto un intervento con riguardo al </w:t>
      </w:r>
      <w:r>
        <w:rPr>
          <w:rFonts w:ascii="Bookman Old Style" w:eastAsia="Bookman Old Style" w:hAnsi="Bookman Old Style" w:cs="Bookman Old Style"/>
          <w:b/>
        </w:rPr>
        <w:t>conto corrente</w:t>
      </w:r>
      <w:r>
        <w:rPr>
          <w:rFonts w:ascii="Bookman Old Style" w:eastAsia="Bookman Old Style" w:hAnsi="Bookman Old Style" w:cs="Bookman Old Style"/>
        </w:rPr>
        <w:t xml:space="preserve"> sul quale operare.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Sotto questo profilo, laddove non siano previste convenzioni particolari con gli istituti di credito l’opzione in</w:t>
      </w:r>
      <w:r>
        <w:rPr>
          <w:rFonts w:ascii="Bookman Old Style" w:eastAsia="Bookman Old Style" w:hAnsi="Bookman Old Style" w:cs="Bookman Old Style"/>
        </w:rPr>
        <w:t>evitabile sarà quella del conto intestato alla procedura con abilitazione al delegato ad operarvi.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Ovviamente, sarà opportuno prevedere un conto con servizio di </w:t>
      </w:r>
      <w:r>
        <w:rPr>
          <w:rFonts w:ascii="Bookman Old Style" w:eastAsia="Bookman Old Style" w:hAnsi="Bookman Old Style" w:cs="Bookman Old Style"/>
          <w:i/>
        </w:rPr>
        <w:t xml:space="preserve">home banking </w:t>
      </w:r>
      <w:r>
        <w:rPr>
          <w:rFonts w:ascii="Bookman Old Style" w:eastAsia="Bookman Old Style" w:hAnsi="Bookman Old Style" w:cs="Bookman Old Style"/>
        </w:rPr>
        <w:t>per la verifica in tempo reale degli accrediti delle cauzioni. E, mi permetto</w:t>
      </w:r>
      <w:r>
        <w:rPr>
          <w:rFonts w:ascii="Bookman Old Style" w:eastAsia="Bookman Old Style" w:hAnsi="Bookman Old Style" w:cs="Bookman Old Style"/>
        </w:rPr>
        <w:t xml:space="preserve"> di suggerire, anche la previsione nell’ordinanza di vendita dell’autorizzazione al delegato ad operare direttamente la restituzione delle cauzioni agli offerenti non aggiudicatari con disposizione di bonifico a valere sul conto della procedura ed esclusiv</w:t>
      </w:r>
      <w:r>
        <w:rPr>
          <w:rFonts w:ascii="Bookman Old Style" w:eastAsia="Bookman Old Style" w:hAnsi="Bookman Old Style" w:cs="Bookman Old Style"/>
        </w:rPr>
        <w:t>amente in favore del conto corrente di partenza.</w:t>
      </w:r>
      <w:r>
        <w:rPr>
          <w:rFonts w:ascii="Bookman Old Style" w:eastAsia="Bookman Old Style" w:hAnsi="Bookman Old Style" w:cs="Bookman Old Style"/>
          <w:vertAlign w:val="superscript"/>
        </w:rPr>
        <w:footnoteReference w:id="6"/>
      </w:r>
      <w:r>
        <w:rPr>
          <w:rFonts w:ascii="Bookman Old Style" w:eastAsia="Bookman Old Style" w:hAnsi="Bookman Old Style" w:cs="Bookman Old Style"/>
        </w:rPr>
        <w:t xml:space="preserve">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L’opzione per la vendita asincrona postula poi l’individuazione di un </w:t>
      </w:r>
      <w:r>
        <w:rPr>
          <w:rFonts w:ascii="Bookman Old Style" w:eastAsia="Bookman Old Style" w:hAnsi="Bookman Old Style" w:cs="Bookman Old Style"/>
          <w:b/>
        </w:rPr>
        <w:t>termine di durata dell’eventuale gara</w:t>
      </w:r>
      <w:r>
        <w:rPr>
          <w:rFonts w:ascii="Bookman Old Style" w:eastAsia="Bookman Old Style" w:hAnsi="Bookman Old Style" w:cs="Bookman Old Style"/>
        </w:rPr>
        <w:t>.</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Il termine in astratto può variare da poche ore a quindici o più giorni e l’individuazione della soluzione migliore dipende da vari fattori.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Personalmente, ritengo che una durata eccessivamente ridotta della gara non consenta di usufruire appieno</w:t>
      </w:r>
      <w:r>
        <w:rPr>
          <w:rFonts w:ascii="Bookman Old Style" w:eastAsia="Bookman Old Style" w:hAnsi="Bookman Old Style" w:cs="Bookman Old Style"/>
        </w:rPr>
        <w:t xml:space="preserve"> di un vantaggio della vendita asincrona, il fatto che cioè – non essendoci necessità della “sincronia” – i tempi di un eventuale malfunzionamento tecnico (anche concernente un singolo offerente) possono essere “assorbiti” nel termine complessivo di durata</w:t>
      </w:r>
      <w:r>
        <w:rPr>
          <w:rFonts w:ascii="Bookman Old Style" w:eastAsia="Bookman Old Style" w:hAnsi="Bookman Old Style" w:cs="Bookman Old Style"/>
        </w:rPr>
        <w:t xml:space="preserve"> della gara.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Verosimilmente, non può escludersi che la scelta di una durata molto ampia della gara porti con sé altri rischi (si pensi, ad esempio, a forme di pressione sul debitore).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Un punto di equilibrio potrebbe essere quello di prevedere qua</w:t>
      </w:r>
      <w:r>
        <w:rPr>
          <w:rFonts w:ascii="Bookman Old Style" w:eastAsia="Bookman Old Style" w:hAnsi="Bookman Old Style" w:cs="Bookman Old Style"/>
        </w:rPr>
        <w:t>nto meno due giorni di gara (con rinvio al giorno successivo per la deliberazione di aggiudicazione) oppure sei giorni consecutivi (in modo da far coincidere il giorno per la deliberazione di aggiudicazione con il settimo giorno successivo a quello di iniz</w:t>
      </w:r>
      <w:r>
        <w:rPr>
          <w:rFonts w:ascii="Bookman Old Style" w:eastAsia="Bookman Old Style" w:hAnsi="Bookman Old Style" w:cs="Bookman Old Style"/>
        </w:rPr>
        <w:t xml:space="preserve">io).    </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Da ultimo, le modalità della gara e l’eventuale </w:t>
      </w:r>
      <w:r>
        <w:rPr>
          <w:rFonts w:ascii="Bookman Old Style" w:eastAsia="Bookman Old Style" w:hAnsi="Bookman Old Style" w:cs="Bookman Old Style"/>
          <w:b/>
          <w:i/>
        </w:rPr>
        <w:t>extra time.</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Personalmente, ritengo che il D.M. n. 32 del 2015 non abbia tipizzato in maniera univoca le modalità di svolgimento della gara in aumento nella vendita asincrona.</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Trattando</w:t>
      </w:r>
      <w:r>
        <w:rPr>
          <w:rFonts w:ascii="Bookman Old Style" w:eastAsia="Bookman Old Style" w:hAnsi="Bookman Old Style" w:cs="Bookman Old Style"/>
        </w:rPr>
        <w:t>si di una forma di vendita senza incanto, non vedo ostacoli a che la gara si svolga nelle due forme allo stato sperimentate nella prassi delle vendite analogiche: quella della gara con plurimi rilanci in aumento consecutivi (secondo lo schema di fondo dell</w:t>
      </w:r>
      <w:r>
        <w:rPr>
          <w:rFonts w:ascii="Bookman Old Style" w:eastAsia="Bookman Old Style" w:hAnsi="Bookman Old Style" w:cs="Bookman Old Style"/>
        </w:rPr>
        <w:t>’incanto) e quella della gara con il sistema dell’unica offerta segreta in aumento.</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Laddove si opti comunque per lo schema dei plurimi rilanci è opportuna la previsione di una forma di prolungamento della gara (il c.d. </w:t>
      </w:r>
      <w:r>
        <w:rPr>
          <w:rFonts w:ascii="Bookman Old Style" w:eastAsia="Bookman Old Style" w:hAnsi="Bookman Old Style" w:cs="Bookman Old Style"/>
          <w:i/>
        </w:rPr>
        <w:t>extra-time</w:t>
      </w:r>
      <w:r>
        <w:rPr>
          <w:rFonts w:ascii="Bookman Old Style" w:eastAsia="Bookman Old Style" w:hAnsi="Bookman Old Style" w:cs="Bookman Old Style"/>
        </w:rPr>
        <w:t>): prevedere, cioè, ch</w:t>
      </w:r>
      <w:r>
        <w:rPr>
          <w:rFonts w:ascii="Bookman Old Style" w:eastAsia="Bookman Old Style" w:hAnsi="Bookman Old Style" w:cs="Bookman Old Style"/>
        </w:rPr>
        <w:t>e – nel caso di offerta in aumento formulata a ridosso della scadenza del termine (ad esempio, 15 minuti prima della scadenza) il termine di durata sia automaticamente prolungato di un ulteriore lasso temporale minimo (ad esempio, ulteriori 15 minuti).</w:t>
      </w:r>
    </w:p>
    <w:p w:rsidR="00476EFD" w:rsidRDefault="00AE2D5C">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rPr>
        <w:t xml:space="preserve">  La </w:t>
      </w:r>
      <w:r>
        <w:rPr>
          <w:rFonts w:ascii="Bookman Old Style" w:eastAsia="Bookman Old Style" w:hAnsi="Bookman Old Style" w:cs="Bookman Old Style"/>
          <w:i/>
        </w:rPr>
        <w:t xml:space="preserve">ratio </w:t>
      </w:r>
      <w:r>
        <w:rPr>
          <w:rFonts w:ascii="Bookman Old Style" w:eastAsia="Bookman Old Style" w:hAnsi="Bookman Old Style" w:cs="Bookman Old Style"/>
        </w:rPr>
        <w:t>è quella di evitare la corsa ad essere l’ultimo offerente e consentire agli altri soggetti di “rilanciare” ulteriormente.</w:t>
      </w:r>
    </w:p>
    <w:p w:rsidR="00476EFD" w:rsidRDefault="00476EFD">
      <w:pPr>
        <w:jc w:val="both"/>
        <w:rPr>
          <w:rFonts w:ascii="Bookman Old Style" w:eastAsia="Bookman Old Style" w:hAnsi="Bookman Old Style" w:cs="Bookman Old Style"/>
        </w:rPr>
      </w:pPr>
    </w:p>
    <w:p w:rsidR="00476EFD" w:rsidRDefault="00476EFD">
      <w:pPr>
        <w:jc w:val="both"/>
        <w:rPr>
          <w:rFonts w:ascii="Bookman Old Style" w:eastAsia="Bookman Old Style" w:hAnsi="Bookman Old Style" w:cs="Bookman Old Style"/>
        </w:rPr>
      </w:pPr>
    </w:p>
    <w:p w:rsidR="00476EFD" w:rsidRDefault="00AE2D5C">
      <w:pPr>
        <w:jc w:val="both"/>
        <w:rPr>
          <w:rFonts w:ascii="Bookman Old Style" w:eastAsia="Bookman Old Style" w:hAnsi="Bookman Old Style" w:cs="Bookman Old Style"/>
          <w:b/>
          <w:smallCaps/>
          <w:sz w:val="20"/>
          <w:szCs w:val="20"/>
        </w:rPr>
      </w:pPr>
      <w:r>
        <w:rPr>
          <w:rFonts w:ascii="Bookman Old Style" w:eastAsia="Bookman Old Style" w:hAnsi="Bookman Old Style" w:cs="Bookman Old Style"/>
          <w:smallCaps/>
          <w:sz w:val="20"/>
          <w:szCs w:val="20"/>
        </w:rPr>
        <w:t xml:space="preserve">     </w:t>
      </w:r>
      <w:r>
        <w:rPr>
          <w:rFonts w:ascii="Bookman Old Style" w:eastAsia="Bookman Old Style" w:hAnsi="Bookman Old Style" w:cs="Bookman Old Style"/>
          <w:b/>
          <w:smallCaps/>
          <w:sz w:val="20"/>
          <w:szCs w:val="20"/>
        </w:rPr>
        <w:t>Allegati:</w:t>
      </w:r>
    </w:p>
    <w:p w:rsidR="00476EFD" w:rsidRDefault="00AE2D5C">
      <w:pPr>
        <w:numPr>
          <w:ilvl w:val="0"/>
          <w:numId w:val="2"/>
        </w:numPr>
        <w:spacing w:after="0"/>
        <w:contextualSpacing/>
        <w:jc w:val="both"/>
        <w:rPr>
          <w:rFonts w:ascii="Bookman Old Style" w:eastAsia="Bookman Old Style" w:hAnsi="Bookman Old Style" w:cs="Bookman Old Style"/>
          <w:b/>
          <w:smallCaps/>
          <w:sz w:val="20"/>
          <w:szCs w:val="20"/>
        </w:rPr>
      </w:pPr>
      <w:r>
        <w:rPr>
          <w:rFonts w:ascii="Bookman Old Style" w:eastAsia="Bookman Old Style" w:hAnsi="Bookman Old Style" w:cs="Bookman Old Style"/>
          <w:b/>
          <w:sz w:val="20"/>
          <w:szCs w:val="20"/>
        </w:rPr>
        <w:t>modello di ordinanza di vendita telematica in modalità asincrona con il sistema dei plurimi rilanci;</w:t>
      </w:r>
    </w:p>
    <w:p w:rsidR="00476EFD" w:rsidRDefault="00AE2D5C">
      <w:pPr>
        <w:numPr>
          <w:ilvl w:val="0"/>
          <w:numId w:val="2"/>
        </w:numPr>
        <w:contextualSpacing/>
        <w:jc w:val="both"/>
        <w:rPr>
          <w:rFonts w:ascii="Bookman Old Style" w:eastAsia="Bookman Old Style" w:hAnsi="Bookman Old Style" w:cs="Bookman Old Style"/>
          <w:b/>
          <w:smallCaps/>
          <w:sz w:val="20"/>
          <w:szCs w:val="20"/>
        </w:rPr>
      </w:pPr>
      <w:r>
        <w:rPr>
          <w:rFonts w:ascii="Bookman Old Style" w:eastAsia="Bookman Old Style" w:hAnsi="Bookman Old Style" w:cs="Bookman Old Style"/>
          <w:b/>
          <w:smallCaps/>
          <w:sz w:val="20"/>
          <w:szCs w:val="20"/>
        </w:rPr>
        <w:t>m</w:t>
      </w:r>
      <w:r>
        <w:rPr>
          <w:rFonts w:ascii="Bookman Old Style" w:eastAsia="Bookman Old Style" w:hAnsi="Bookman Old Style" w:cs="Bookman Old Style"/>
          <w:b/>
          <w:sz w:val="20"/>
          <w:szCs w:val="20"/>
        </w:rPr>
        <w:t>odello di ordinanza di vendita telematica in modalità asincrona con il sistema dell’unica offerta segreta.</w:t>
      </w:r>
    </w:p>
    <w:p w:rsidR="00476EFD" w:rsidRDefault="00476EFD">
      <w:pPr>
        <w:jc w:val="both"/>
        <w:rPr>
          <w:rFonts w:ascii="Bookman Old Style" w:eastAsia="Bookman Old Style" w:hAnsi="Bookman Old Style" w:cs="Bookman Old Style"/>
        </w:rPr>
      </w:pPr>
    </w:p>
    <w:sectPr w:rsidR="00476EFD">
      <w:pgSz w:w="11906" w:h="16838"/>
      <w:pgMar w:top="1417" w:right="170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5C" w:rsidRDefault="00AE2D5C">
      <w:pPr>
        <w:spacing w:after="0" w:line="240" w:lineRule="auto"/>
      </w:pPr>
      <w:r>
        <w:separator/>
      </w:r>
    </w:p>
  </w:endnote>
  <w:endnote w:type="continuationSeparator" w:id="0">
    <w:p w:rsidR="00AE2D5C" w:rsidRDefault="00AE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5C" w:rsidRDefault="00AE2D5C">
      <w:pPr>
        <w:spacing w:after="0" w:line="240" w:lineRule="auto"/>
      </w:pPr>
      <w:r>
        <w:separator/>
      </w:r>
    </w:p>
  </w:footnote>
  <w:footnote w:type="continuationSeparator" w:id="0">
    <w:p w:rsidR="00AE2D5C" w:rsidRDefault="00AE2D5C">
      <w:pPr>
        <w:spacing w:after="0" w:line="240" w:lineRule="auto"/>
      </w:pPr>
      <w:r>
        <w:continuationSeparator/>
      </w:r>
    </w:p>
  </w:footnote>
  <w:footnote w:id="1">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sz w:val="20"/>
          <w:szCs w:val="20"/>
        </w:rPr>
        <w:t xml:space="preserve"> </w:t>
      </w:r>
      <w:r>
        <w:rPr>
          <w:rFonts w:ascii="Bookman Old Style" w:eastAsia="Bookman Old Style" w:hAnsi="Bookman Old Style" w:cs="Bookman Old Style"/>
          <w:sz w:val="20"/>
          <w:szCs w:val="20"/>
        </w:rPr>
        <w:t>La conferma che si tratta di una valutazione di “sistema” si rinviene nel fatto che le determinazioni cui è chiamato il giudice dell’esecuzione ri</w:t>
      </w:r>
      <w:r>
        <w:rPr>
          <w:rFonts w:ascii="Bookman Old Style" w:eastAsia="Bookman Old Style" w:hAnsi="Bookman Old Style" w:cs="Bookman Old Style"/>
          <w:sz w:val="20"/>
          <w:szCs w:val="20"/>
        </w:rPr>
        <w:t>guardano non solo le vendite per le quali non sia stata ancora pronunciata l’ordinanza di vendita, ma anche quelle già pendenti: ai sensi dell’art. 4, comma 5, D.L. n. 59 del 2016, la disposizione del novellato art. 569, quarto comma, c.p.c. si applica all</w:t>
      </w:r>
      <w:r>
        <w:rPr>
          <w:rFonts w:ascii="Bookman Old Style" w:eastAsia="Bookman Old Style" w:hAnsi="Bookman Old Style" w:cs="Bookman Old Style"/>
          <w:sz w:val="20"/>
          <w:szCs w:val="20"/>
        </w:rPr>
        <w:t xml:space="preserve">e vendite forzate di beni immobili disposte dal giudice dell’esecuzione </w:t>
      </w:r>
      <w:r>
        <w:rPr>
          <w:rFonts w:ascii="Bookman Old Style" w:eastAsia="Bookman Old Style" w:hAnsi="Bookman Old Style" w:cs="Bookman Old Style"/>
          <w:i/>
          <w:sz w:val="20"/>
          <w:szCs w:val="20"/>
        </w:rPr>
        <w:t>o dal professionista delegato</w:t>
      </w:r>
      <w:r>
        <w:rPr>
          <w:rFonts w:ascii="Bookman Old Style" w:eastAsia="Bookman Old Style" w:hAnsi="Bookman Old Style" w:cs="Bookman Old Style"/>
          <w:sz w:val="20"/>
          <w:szCs w:val="20"/>
        </w:rPr>
        <w:t xml:space="preserve"> dopo il novantesimo giorno successivo alla pubblicazione nella G.U. del decreto di accertamento dell’operatività del Portale delle vendite pubbliche (pubb</w:t>
      </w:r>
      <w:r>
        <w:rPr>
          <w:rFonts w:ascii="Bookman Old Style" w:eastAsia="Bookman Old Style" w:hAnsi="Bookman Old Style" w:cs="Bookman Old Style"/>
          <w:sz w:val="20"/>
          <w:szCs w:val="20"/>
        </w:rPr>
        <w:t>licazione intervenuta in G.U. G.U. – Serie Generale n. 7 del 10/1/2018).</w:t>
      </w:r>
    </w:p>
  </w:footnote>
  <w:footnote w:id="2">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Verosimilmente, ciò spiega la ragione per la quale non risulta diffuso un meccanismo di vendita immobiliare telematica al di fuori del mondo delle aste (giudiziarie e/o amministrati</w:t>
      </w:r>
      <w:r>
        <w:rPr>
          <w:rFonts w:ascii="Bookman Old Style" w:eastAsia="Bookman Old Style" w:hAnsi="Bookman Old Style" w:cs="Bookman Old Style"/>
          <w:sz w:val="20"/>
          <w:szCs w:val="20"/>
        </w:rPr>
        <w:t>ve): a ben vedere, infatti, in un contesto di vendita privata “libera” l’esigenza di assicurare gli obiettivi di trasparenza e segretezza sopra rappresentati appare del tutto secondaria, atteso che l’individuazione dell’acquirente è affidata a meccanismi d</w:t>
      </w:r>
      <w:r>
        <w:rPr>
          <w:rFonts w:ascii="Bookman Old Style" w:eastAsia="Bookman Old Style" w:hAnsi="Bookman Old Style" w:cs="Bookman Old Style"/>
          <w:sz w:val="20"/>
          <w:szCs w:val="20"/>
        </w:rPr>
        <w:t xml:space="preserve">el tutto diversi. </w:t>
      </w:r>
    </w:p>
  </w:footnote>
  <w:footnote w:id="3">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In altri termini, un’eventualità non del tutto peregrina è che le complicazioni derivanti dall’innesto del meccanismo telematico sulla struttura della vendita tradizionale (soprattutto con riguardo alla fase del rincaro) si risolvano a</w:t>
      </w:r>
      <w:r>
        <w:rPr>
          <w:rFonts w:ascii="Bookman Old Style" w:eastAsia="Bookman Old Style" w:hAnsi="Bookman Old Style" w:cs="Bookman Old Style"/>
          <w:sz w:val="20"/>
          <w:szCs w:val="20"/>
        </w:rPr>
        <w:t xml:space="preserve"> danno dell’offerente telematico (se non altro perché è un soggetto non presente fisicamente al momento della vendita), con un inevitabile effetto disincentivante per il ricorso a tale modalità di offerta.</w:t>
      </w:r>
    </w:p>
  </w:footnote>
  <w:footnote w:id="4">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In questa prospettiva, non mi sembra significati</w:t>
      </w:r>
      <w:r>
        <w:rPr>
          <w:rFonts w:ascii="Bookman Old Style" w:eastAsia="Bookman Old Style" w:hAnsi="Bookman Old Style" w:cs="Bookman Old Style"/>
          <w:sz w:val="20"/>
          <w:szCs w:val="20"/>
        </w:rPr>
        <w:t>va la possibilità che – attraverso il collegamento in “remoto” comunque consentito dalla vendita sincrona mista – abbia luogo un ampliamento della platea degli offerenti (consentendosi la partecipazione anche di soggetti a distanza), atteso che, salvo ecce</w:t>
      </w:r>
      <w:r>
        <w:rPr>
          <w:rFonts w:ascii="Bookman Old Style" w:eastAsia="Bookman Old Style" w:hAnsi="Bookman Old Style" w:cs="Bookman Old Style"/>
          <w:sz w:val="20"/>
          <w:szCs w:val="20"/>
        </w:rPr>
        <w:t>zioni, la tipologia di beni in vendita (immobili) rende del tutto secondaria tale possibilità.</w:t>
      </w:r>
    </w:p>
  </w:footnote>
  <w:footnote w:id="5">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Sotto questo profilo, piuttosto, l’obiettivo da perseguire dovrebbe essere quello di costruire un sistema diretto ad eliminare quegli inevitabili profili di “o</w:t>
      </w:r>
      <w:r>
        <w:rPr>
          <w:rFonts w:ascii="Bookman Old Style" w:eastAsia="Bookman Old Style" w:hAnsi="Bookman Old Style" w:cs="Bookman Old Style"/>
          <w:sz w:val="20"/>
          <w:szCs w:val="20"/>
        </w:rPr>
        <w:t>pacità” insiti nell’area di intermediazione. In questo senso, ad esempio, si può pensare di prevedere nell’ordinanza di vendita: a) da un lato, la valorizzazione del custode giudiziario quale soggetto idoneo – in quanto vero e proprio “ausiliario per la li</w:t>
      </w:r>
      <w:r>
        <w:rPr>
          <w:rFonts w:ascii="Bookman Old Style" w:eastAsia="Bookman Old Style" w:hAnsi="Bookman Old Style" w:cs="Bookman Old Style"/>
          <w:sz w:val="20"/>
          <w:szCs w:val="20"/>
        </w:rPr>
        <w:t xml:space="preserve">quidazione” – a fornire ai potenziali interessati il supporto necessario per la presentazione dell’offerta anche telematica; b) dall’altro lato, la limitazione della possibilità di utilizzare per la trasmissione dell’offerta indirizzi di posta elettronica </w:t>
      </w:r>
      <w:r>
        <w:rPr>
          <w:rFonts w:ascii="Bookman Old Style" w:eastAsia="Bookman Old Style" w:hAnsi="Bookman Old Style" w:cs="Bookman Old Style"/>
          <w:sz w:val="20"/>
          <w:szCs w:val="20"/>
        </w:rPr>
        <w:t>certificata di soggetti diversi dall’offerente che sottoscriva l’offerta, nel senso, cioè, di prevedere quanto meno che non possa essere utilizzato – a pena di inefficacia delle ulteriori offerte – lo stesso indirizzo PEC per presentare plurime offerte per</w:t>
      </w:r>
      <w:r>
        <w:rPr>
          <w:rFonts w:ascii="Bookman Old Style" w:eastAsia="Bookman Old Style" w:hAnsi="Bookman Old Style" w:cs="Bookman Old Style"/>
          <w:sz w:val="20"/>
          <w:szCs w:val="20"/>
        </w:rPr>
        <w:t xml:space="preserve"> lo stesso bene (onde evitare il rischio di </w:t>
      </w:r>
      <w:r>
        <w:rPr>
          <w:rFonts w:ascii="Bookman Old Style" w:eastAsia="Bookman Old Style" w:hAnsi="Bookman Old Style" w:cs="Bookman Old Style"/>
          <w:i/>
          <w:sz w:val="20"/>
          <w:szCs w:val="20"/>
        </w:rPr>
        <w:t>combine</w:t>
      </w:r>
      <w:r>
        <w:rPr>
          <w:rFonts w:ascii="Bookman Old Style" w:eastAsia="Bookman Old Style" w:hAnsi="Bookman Old Style" w:cs="Bookman Old Style"/>
          <w:sz w:val="20"/>
          <w:szCs w:val="20"/>
        </w:rPr>
        <w:t xml:space="preserve"> od indebiti contatti tra gli interessati). </w:t>
      </w:r>
    </w:p>
  </w:footnote>
  <w:footnote w:id="6">
    <w:p w:rsidR="00476EFD" w:rsidRDefault="00AE2D5C">
      <w:pPr>
        <w:spacing w:after="0"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Al riguardo, tale previsione corrisponde a quella dell’art. 591-bis, terzo comma, n. 13), c.p.c.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121"/>
    <w:multiLevelType w:val="multilevel"/>
    <w:tmpl w:val="48180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F877FF7"/>
    <w:multiLevelType w:val="multilevel"/>
    <w:tmpl w:val="DB6A2E68"/>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630761F6"/>
    <w:multiLevelType w:val="multilevel"/>
    <w:tmpl w:val="BB22A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76EFD"/>
    <w:rsid w:val="0042516B"/>
    <w:rsid w:val="00476EFD"/>
    <w:rsid w:val="00AE2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notaapidipagina">
    <w:name w:val="footnote text"/>
    <w:basedOn w:val="Normale"/>
    <w:link w:val="TestonotaapidipaginaCarattere"/>
    <w:uiPriority w:val="99"/>
    <w:semiHidden/>
    <w:unhideWhenUsed/>
    <w:rsid w:val="00540A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0A8A"/>
    <w:rPr>
      <w:sz w:val="20"/>
      <w:szCs w:val="20"/>
    </w:rPr>
  </w:style>
  <w:style w:type="character" w:styleId="Rimandonotaapidipagina">
    <w:name w:val="footnote reference"/>
    <w:basedOn w:val="Carpredefinitoparagrafo"/>
    <w:uiPriority w:val="99"/>
    <w:semiHidden/>
    <w:unhideWhenUsed/>
    <w:rsid w:val="00540A8A"/>
    <w:rPr>
      <w:vertAlign w:val="superscript"/>
    </w:rPr>
  </w:style>
  <w:style w:type="paragraph" w:styleId="Paragrafoelenco">
    <w:name w:val="List Paragraph"/>
    <w:basedOn w:val="Normale"/>
    <w:uiPriority w:val="34"/>
    <w:qFormat/>
    <w:rsid w:val="00845A92"/>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notaapidipagina">
    <w:name w:val="footnote text"/>
    <w:basedOn w:val="Normale"/>
    <w:link w:val="TestonotaapidipaginaCarattere"/>
    <w:uiPriority w:val="99"/>
    <w:semiHidden/>
    <w:unhideWhenUsed/>
    <w:rsid w:val="00540A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0A8A"/>
    <w:rPr>
      <w:sz w:val="20"/>
      <w:szCs w:val="20"/>
    </w:rPr>
  </w:style>
  <w:style w:type="character" w:styleId="Rimandonotaapidipagina">
    <w:name w:val="footnote reference"/>
    <w:basedOn w:val="Carpredefinitoparagrafo"/>
    <w:uiPriority w:val="99"/>
    <w:semiHidden/>
    <w:unhideWhenUsed/>
    <w:rsid w:val="00540A8A"/>
    <w:rPr>
      <w:vertAlign w:val="superscript"/>
    </w:rPr>
  </w:style>
  <w:style w:type="paragraph" w:styleId="Paragrafoelenco">
    <w:name w:val="List Paragraph"/>
    <w:basedOn w:val="Normale"/>
    <w:uiPriority w:val="34"/>
    <w:qFormat/>
    <w:rsid w:val="00845A92"/>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3145</Words>
  <Characters>17933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Perna</dc:creator>
  <cp:lastModifiedBy>Barbara Perna</cp:lastModifiedBy>
  <cp:revision>2</cp:revision>
  <dcterms:created xsi:type="dcterms:W3CDTF">2018-03-27T06:20:00Z</dcterms:created>
  <dcterms:modified xsi:type="dcterms:W3CDTF">2018-03-27T06:20:00Z</dcterms:modified>
</cp:coreProperties>
</file>