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245" w:rsidRDefault="00B9117E" w:rsidP="00B9117E">
      <w:pPr>
        <w:jc w:val="center"/>
        <w:rPr>
          <w:rFonts w:ascii="Times New Roman" w:hAnsi="Times New Roman" w:cs="Times New Roman"/>
          <w:b/>
          <w:caps/>
          <w:sz w:val="28"/>
          <w:szCs w:val="28"/>
        </w:rPr>
      </w:pPr>
      <w:bookmarkStart w:id="0" w:name="_GoBack"/>
      <w:bookmarkEnd w:id="0"/>
      <w:r w:rsidRPr="00FF0245">
        <w:rPr>
          <w:rFonts w:ascii="Times New Roman" w:hAnsi="Times New Roman" w:cs="Times New Roman"/>
          <w:b/>
          <w:caps/>
          <w:sz w:val="28"/>
          <w:szCs w:val="28"/>
        </w:rPr>
        <w:t xml:space="preserve">Selezione e nomina dei gestori dei servizi strumentali alle vendite giudiziarie: </w:t>
      </w:r>
    </w:p>
    <w:p w:rsidR="00285F43" w:rsidRPr="00FF0245" w:rsidRDefault="00B9117E" w:rsidP="00B9117E">
      <w:pPr>
        <w:jc w:val="center"/>
        <w:rPr>
          <w:rFonts w:ascii="Times New Roman" w:hAnsi="Times New Roman" w:cs="Times New Roman"/>
          <w:b/>
          <w:caps/>
          <w:sz w:val="28"/>
          <w:szCs w:val="28"/>
        </w:rPr>
      </w:pPr>
      <w:r w:rsidRPr="00FF0245">
        <w:rPr>
          <w:rFonts w:ascii="Times New Roman" w:hAnsi="Times New Roman" w:cs="Times New Roman"/>
          <w:b/>
          <w:caps/>
          <w:sz w:val="28"/>
          <w:szCs w:val="28"/>
        </w:rPr>
        <w:t>giurisdizione o amministrazione?</w:t>
      </w:r>
    </w:p>
    <w:p w:rsidR="003C05A4" w:rsidRDefault="003C05A4" w:rsidP="00D45718">
      <w:pPr>
        <w:spacing w:after="0" w:line="360" w:lineRule="auto"/>
        <w:jc w:val="both"/>
        <w:rPr>
          <w:rFonts w:ascii="Times New Roman" w:hAnsi="Times New Roman"/>
          <w:sz w:val="28"/>
          <w:szCs w:val="28"/>
        </w:rPr>
      </w:pPr>
      <w:r>
        <w:rPr>
          <w:rFonts w:ascii="Times New Roman" w:hAnsi="Times New Roman"/>
          <w:sz w:val="28"/>
          <w:szCs w:val="28"/>
        </w:rPr>
        <w:t>Il</w:t>
      </w:r>
      <w:r w:rsidR="00D45718">
        <w:rPr>
          <w:rFonts w:ascii="Times New Roman" w:hAnsi="Times New Roman"/>
          <w:sz w:val="28"/>
          <w:szCs w:val="28"/>
        </w:rPr>
        <w:t xml:space="preserve"> fondamentale valore costituzionale dell’effettività dei diritti e della giurisdizione</w:t>
      </w:r>
      <w:r>
        <w:rPr>
          <w:rFonts w:ascii="Times New Roman" w:hAnsi="Times New Roman"/>
          <w:sz w:val="28"/>
          <w:szCs w:val="28"/>
        </w:rPr>
        <w:t xml:space="preserve"> presuppone procedimenti esecutivi celeri ed efficienti.</w:t>
      </w:r>
    </w:p>
    <w:p w:rsidR="003C05A4" w:rsidRDefault="003C05A4" w:rsidP="00D45718">
      <w:pPr>
        <w:spacing w:after="0" w:line="360" w:lineRule="auto"/>
        <w:jc w:val="both"/>
        <w:rPr>
          <w:rFonts w:ascii="Times New Roman" w:hAnsi="Times New Roman"/>
          <w:sz w:val="28"/>
          <w:szCs w:val="28"/>
        </w:rPr>
      </w:pPr>
      <w:r>
        <w:rPr>
          <w:rFonts w:ascii="Times New Roman" w:hAnsi="Times New Roman"/>
          <w:sz w:val="28"/>
          <w:szCs w:val="28"/>
        </w:rPr>
        <w:t xml:space="preserve">L’efficienza dei procedimenti esecutivi necessita imprescindibilmente di prassi organizzative snelle ed efficaci che consentano la migliore operatività in concreto degli istituti processuali. </w:t>
      </w:r>
    </w:p>
    <w:p w:rsidR="00680222" w:rsidRDefault="003C05A4" w:rsidP="00D45718">
      <w:pPr>
        <w:spacing w:after="0" w:line="360" w:lineRule="auto"/>
        <w:jc w:val="both"/>
        <w:rPr>
          <w:rFonts w:ascii="Times New Roman" w:hAnsi="Times New Roman"/>
          <w:sz w:val="28"/>
          <w:szCs w:val="28"/>
        </w:rPr>
      </w:pPr>
      <w:r>
        <w:rPr>
          <w:rFonts w:ascii="Times New Roman" w:hAnsi="Times New Roman"/>
          <w:sz w:val="28"/>
          <w:szCs w:val="28"/>
        </w:rPr>
        <w:t>C</w:t>
      </w:r>
      <w:r w:rsidR="000F1AE2">
        <w:rPr>
          <w:rFonts w:ascii="Times New Roman" w:hAnsi="Times New Roman"/>
          <w:sz w:val="28"/>
          <w:szCs w:val="28"/>
        </w:rPr>
        <w:t xml:space="preserve">on riguardo specifico alle </w:t>
      </w:r>
      <w:r>
        <w:rPr>
          <w:rFonts w:ascii="Times New Roman" w:hAnsi="Times New Roman"/>
          <w:sz w:val="28"/>
          <w:szCs w:val="28"/>
        </w:rPr>
        <w:t>espropriazioni</w:t>
      </w:r>
      <w:r w:rsidR="000F1AE2">
        <w:rPr>
          <w:rFonts w:ascii="Times New Roman" w:hAnsi="Times New Roman"/>
          <w:sz w:val="28"/>
          <w:szCs w:val="28"/>
        </w:rPr>
        <w:t xml:space="preserve"> immobiliari, pare fuori di dubbio</w:t>
      </w:r>
      <w:r w:rsidR="00680222">
        <w:rPr>
          <w:rFonts w:ascii="Times New Roman" w:hAnsi="Times New Roman"/>
          <w:sz w:val="28"/>
          <w:szCs w:val="28"/>
        </w:rPr>
        <w:t xml:space="preserve"> che</w:t>
      </w:r>
      <w:r w:rsidR="000F1AE2">
        <w:rPr>
          <w:rFonts w:ascii="Times New Roman" w:hAnsi="Times New Roman"/>
          <w:sz w:val="28"/>
          <w:szCs w:val="28"/>
        </w:rPr>
        <w:t xml:space="preserve"> solo</w:t>
      </w:r>
      <w:r w:rsidR="00680222">
        <w:rPr>
          <w:rFonts w:ascii="Times New Roman" w:hAnsi="Times New Roman"/>
          <w:sz w:val="28"/>
          <w:szCs w:val="28"/>
        </w:rPr>
        <w:t xml:space="preserve"> </w:t>
      </w:r>
      <w:r w:rsidR="000F1AE2">
        <w:rPr>
          <w:rFonts w:ascii="Times New Roman" w:hAnsi="Times New Roman"/>
          <w:sz w:val="28"/>
          <w:szCs w:val="28"/>
        </w:rPr>
        <w:t>la predisposizione di</w:t>
      </w:r>
      <w:r w:rsidR="00680222">
        <w:rPr>
          <w:rFonts w:ascii="Times New Roman" w:hAnsi="Times New Roman"/>
          <w:sz w:val="28"/>
          <w:szCs w:val="28"/>
        </w:rPr>
        <w:t xml:space="preserve"> adeguat</w:t>
      </w:r>
      <w:r w:rsidR="000F1AE2">
        <w:rPr>
          <w:rFonts w:ascii="Times New Roman" w:hAnsi="Times New Roman"/>
          <w:sz w:val="28"/>
          <w:szCs w:val="28"/>
        </w:rPr>
        <w:t>e forme di</w:t>
      </w:r>
      <w:r w:rsidR="00680222">
        <w:rPr>
          <w:rFonts w:ascii="Times New Roman" w:hAnsi="Times New Roman"/>
          <w:sz w:val="28"/>
          <w:szCs w:val="28"/>
        </w:rPr>
        <w:t xml:space="preserve"> informazione e</w:t>
      </w:r>
      <w:r w:rsidR="000F1AE2">
        <w:rPr>
          <w:rFonts w:ascii="Times New Roman" w:hAnsi="Times New Roman"/>
          <w:sz w:val="28"/>
          <w:szCs w:val="28"/>
        </w:rPr>
        <w:t>d</w:t>
      </w:r>
      <w:r w:rsidR="00680222">
        <w:rPr>
          <w:rFonts w:ascii="Times New Roman" w:hAnsi="Times New Roman"/>
          <w:sz w:val="28"/>
          <w:szCs w:val="28"/>
        </w:rPr>
        <w:t xml:space="preserve"> access</w:t>
      </w:r>
      <w:r w:rsidR="000F1AE2">
        <w:rPr>
          <w:rFonts w:ascii="Times New Roman" w:hAnsi="Times New Roman"/>
          <w:sz w:val="28"/>
          <w:szCs w:val="28"/>
        </w:rPr>
        <w:t>o</w:t>
      </w:r>
      <w:r w:rsidR="00680222">
        <w:rPr>
          <w:rFonts w:ascii="Times New Roman" w:hAnsi="Times New Roman"/>
          <w:sz w:val="28"/>
          <w:szCs w:val="28"/>
        </w:rPr>
        <w:t xml:space="preserve"> </w:t>
      </w:r>
      <w:r w:rsidR="000F1AE2">
        <w:rPr>
          <w:rFonts w:ascii="Times New Roman" w:hAnsi="Times New Roman"/>
          <w:sz w:val="28"/>
          <w:szCs w:val="28"/>
        </w:rPr>
        <w:t>possa in concreto consentire la vendita al prezzo migliore nel minor tempo possibile così da soddisfare al massimo il diritto del creditore e sacrificare al minimo i diritti del debitore</w:t>
      </w:r>
      <w:r w:rsidR="00680222">
        <w:rPr>
          <w:rFonts w:ascii="Times New Roman" w:hAnsi="Times New Roman"/>
          <w:sz w:val="28"/>
          <w:szCs w:val="28"/>
        </w:rPr>
        <w:t xml:space="preserve">. </w:t>
      </w:r>
    </w:p>
    <w:p w:rsidR="00CB764A" w:rsidRDefault="003C05A4" w:rsidP="00D45718">
      <w:pPr>
        <w:spacing w:after="0" w:line="360" w:lineRule="auto"/>
        <w:jc w:val="both"/>
        <w:rPr>
          <w:rFonts w:ascii="Times New Roman" w:hAnsi="Times New Roman"/>
          <w:sz w:val="28"/>
          <w:szCs w:val="28"/>
        </w:rPr>
      </w:pPr>
      <w:r>
        <w:rPr>
          <w:rFonts w:ascii="Times New Roman" w:hAnsi="Times New Roman"/>
          <w:sz w:val="28"/>
          <w:szCs w:val="28"/>
        </w:rPr>
        <w:t>Questo è lo scopo fondamentale delle prassi</w:t>
      </w:r>
      <w:r w:rsidR="003345BF">
        <w:rPr>
          <w:rFonts w:ascii="Times New Roman" w:hAnsi="Times New Roman"/>
          <w:sz w:val="28"/>
          <w:szCs w:val="28"/>
        </w:rPr>
        <w:t xml:space="preserve"> </w:t>
      </w:r>
      <w:r>
        <w:rPr>
          <w:rFonts w:ascii="Times New Roman" w:hAnsi="Times New Roman"/>
          <w:sz w:val="28"/>
          <w:szCs w:val="28"/>
        </w:rPr>
        <w:t xml:space="preserve">giudiziarie </w:t>
      </w:r>
      <w:r w:rsidR="003345BF">
        <w:rPr>
          <w:rFonts w:ascii="Times New Roman" w:hAnsi="Times New Roman"/>
          <w:sz w:val="28"/>
          <w:szCs w:val="28"/>
        </w:rPr>
        <w:t xml:space="preserve">in tema di pubblicità delle aste, </w:t>
      </w:r>
      <w:r w:rsidR="00353BFF">
        <w:rPr>
          <w:rFonts w:ascii="Times New Roman" w:hAnsi="Times New Roman"/>
          <w:sz w:val="28"/>
          <w:szCs w:val="28"/>
        </w:rPr>
        <w:t>tese a</w:t>
      </w:r>
      <w:r w:rsidR="003345BF">
        <w:rPr>
          <w:rFonts w:ascii="Times New Roman" w:hAnsi="Times New Roman"/>
          <w:sz w:val="28"/>
          <w:szCs w:val="28"/>
        </w:rPr>
        <w:t xml:space="preserve">l coordinamento dei Magistrati di un Tribunale, o addirittura dell’intero distretto, al fine di elaborare sistemi di copertura mediatica ottimale al minimo costo, </w:t>
      </w:r>
      <w:r w:rsidR="00353BFF">
        <w:rPr>
          <w:rFonts w:ascii="Times New Roman" w:hAnsi="Times New Roman"/>
          <w:sz w:val="28"/>
          <w:szCs w:val="28"/>
        </w:rPr>
        <w:t>di</w:t>
      </w:r>
      <w:r w:rsidR="003345BF">
        <w:rPr>
          <w:rFonts w:ascii="Times New Roman" w:hAnsi="Times New Roman"/>
          <w:sz w:val="28"/>
          <w:szCs w:val="28"/>
        </w:rPr>
        <w:t xml:space="preserve"> sperimentare nuove modalità pubblicitarie o tecnologie comunicative innovative</w:t>
      </w:r>
      <w:r w:rsidR="00353BFF">
        <w:rPr>
          <w:rFonts w:ascii="Times New Roman" w:hAnsi="Times New Roman"/>
          <w:sz w:val="28"/>
          <w:szCs w:val="28"/>
        </w:rPr>
        <w:t xml:space="preserve"> e</w:t>
      </w:r>
      <w:r w:rsidR="003345BF">
        <w:rPr>
          <w:rFonts w:ascii="Times New Roman" w:hAnsi="Times New Roman"/>
          <w:sz w:val="28"/>
          <w:szCs w:val="28"/>
        </w:rPr>
        <w:t xml:space="preserve"> di avvalersi della consulenza di soggetti specializzat</w:t>
      </w:r>
      <w:r w:rsidR="00AD250F">
        <w:rPr>
          <w:rFonts w:ascii="Times New Roman" w:hAnsi="Times New Roman"/>
          <w:sz w:val="28"/>
          <w:szCs w:val="28"/>
        </w:rPr>
        <w:t>i</w:t>
      </w:r>
      <w:r w:rsidR="003345BF">
        <w:rPr>
          <w:rFonts w:ascii="Times New Roman" w:hAnsi="Times New Roman"/>
          <w:sz w:val="28"/>
          <w:szCs w:val="28"/>
        </w:rPr>
        <w:t xml:space="preserve"> per avere il monitoraggio del</w:t>
      </w:r>
      <w:r w:rsidR="00AD250F">
        <w:rPr>
          <w:rFonts w:ascii="Times New Roman" w:hAnsi="Times New Roman"/>
          <w:sz w:val="28"/>
          <w:szCs w:val="28"/>
        </w:rPr>
        <w:t>l’efficacia della pubblicità prescelta</w:t>
      </w:r>
      <w:r w:rsidR="00353BFF">
        <w:rPr>
          <w:rFonts w:ascii="Times New Roman" w:hAnsi="Times New Roman"/>
          <w:sz w:val="28"/>
          <w:szCs w:val="28"/>
        </w:rPr>
        <w:t xml:space="preserve">, nonché, a volte, per ottenere prestazioni accessorie ed ulteriori a titolo gratuito colmando le lacune strutturali e di organico </w:t>
      </w:r>
      <w:r w:rsidR="00FF0245">
        <w:rPr>
          <w:rFonts w:ascii="Times New Roman" w:hAnsi="Times New Roman"/>
          <w:sz w:val="28"/>
          <w:szCs w:val="28"/>
        </w:rPr>
        <w:t>degli Uffici Giudiziari</w:t>
      </w:r>
      <w:r w:rsidR="00AD250F">
        <w:rPr>
          <w:rFonts w:ascii="Times New Roman" w:hAnsi="Times New Roman"/>
          <w:sz w:val="28"/>
          <w:szCs w:val="28"/>
        </w:rPr>
        <w:t xml:space="preserve">. </w:t>
      </w:r>
    </w:p>
    <w:p w:rsidR="002A57D8" w:rsidRDefault="00353BFF" w:rsidP="00D45718">
      <w:pPr>
        <w:spacing w:after="0" w:line="360" w:lineRule="auto"/>
        <w:jc w:val="both"/>
        <w:rPr>
          <w:rFonts w:ascii="Times New Roman" w:hAnsi="Times New Roman"/>
          <w:sz w:val="28"/>
          <w:szCs w:val="28"/>
        </w:rPr>
      </w:pPr>
      <w:r>
        <w:rPr>
          <w:rFonts w:ascii="Times New Roman" w:hAnsi="Times New Roman"/>
          <w:sz w:val="28"/>
          <w:szCs w:val="28"/>
        </w:rPr>
        <w:t>Spesso tali prassi sono state elaborate</w:t>
      </w:r>
      <w:r w:rsidR="002A57D8">
        <w:rPr>
          <w:rFonts w:ascii="Times New Roman" w:hAnsi="Times New Roman"/>
          <w:sz w:val="28"/>
          <w:szCs w:val="28"/>
        </w:rPr>
        <w:t xml:space="preserve"> </w:t>
      </w:r>
      <w:r w:rsidR="006821DD">
        <w:rPr>
          <w:rFonts w:ascii="Times New Roman" w:hAnsi="Times New Roman"/>
          <w:sz w:val="28"/>
          <w:szCs w:val="28"/>
        </w:rPr>
        <w:t>come mera espressione</w:t>
      </w:r>
      <w:r w:rsidR="002A57D8">
        <w:rPr>
          <w:rFonts w:ascii="Times New Roman" w:hAnsi="Times New Roman"/>
          <w:sz w:val="28"/>
          <w:szCs w:val="28"/>
        </w:rPr>
        <w:t xml:space="preserve"> di organizzazione interna e </w:t>
      </w:r>
      <w:r>
        <w:rPr>
          <w:rFonts w:ascii="Times New Roman" w:hAnsi="Times New Roman"/>
          <w:sz w:val="28"/>
          <w:szCs w:val="28"/>
        </w:rPr>
        <w:t>volontario coordinamento</w:t>
      </w:r>
      <w:r w:rsidR="002A57D8">
        <w:rPr>
          <w:rFonts w:ascii="Times New Roman" w:hAnsi="Times New Roman"/>
          <w:sz w:val="28"/>
          <w:szCs w:val="28"/>
        </w:rPr>
        <w:t xml:space="preserve"> </w:t>
      </w:r>
      <w:r>
        <w:rPr>
          <w:rFonts w:ascii="Times New Roman" w:hAnsi="Times New Roman"/>
          <w:sz w:val="28"/>
          <w:szCs w:val="28"/>
        </w:rPr>
        <w:t xml:space="preserve">del </w:t>
      </w:r>
      <w:r w:rsidR="002A57D8">
        <w:rPr>
          <w:rFonts w:ascii="Times New Roman" w:hAnsi="Times New Roman"/>
          <w:sz w:val="28"/>
          <w:szCs w:val="28"/>
        </w:rPr>
        <w:t>potere di direzione del procedimento</w:t>
      </w:r>
      <w:r>
        <w:rPr>
          <w:rFonts w:ascii="Times New Roman" w:hAnsi="Times New Roman"/>
          <w:sz w:val="28"/>
          <w:szCs w:val="28"/>
        </w:rPr>
        <w:t xml:space="preserve"> proprio di ogni singolo Magistrato</w:t>
      </w:r>
      <w:r w:rsidR="002A57D8">
        <w:rPr>
          <w:rFonts w:ascii="Times New Roman" w:hAnsi="Times New Roman"/>
          <w:sz w:val="28"/>
          <w:szCs w:val="28"/>
        </w:rPr>
        <w:t xml:space="preserve">, </w:t>
      </w:r>
      <w:r>
        <w:rPr>
          <w:rFonts w:ascii="Times New Roman" w:hAnsi="Times New Roman"/>
          <w:sz w:val="28"/>
          <w:szCs w:val="28"/>
        </w:rPr>
        <w:t>in ragione del fatto che</w:t>
      </w:r>
      <w:r w:rsidR="002A57D8">
        <w:rPr>
          <w:rFonts w:ascii="Times New Roman" w:hAnsi="Times New Roman"/>
          <w:sz w:val="28"/>
          <w:szCs w:val="28"/>
        </w:rPr>
        <w:t xml:space="preserve"> le menzionate attività ausiliarie, intimamente ed irrinunciabilmente connesse alla giurisdizione </w:t>
      </w:r>
      <w:r>
        <w:rPr>
          <w:rFonts w:ascii="Times New Roman" w:hAnsi="Times New Roman"/>
          <w:sz w:val="28"/>
          <w:szCs w:val="28"/>
        </w:rPr>
        <w:t xml:space="preserve">tanto </w:t>
      </w:r>
      <w:r w:rsidR="002A57D8">
        <w:rPr>
          <w:rFonts w:ascii="Times New Roman" w:hAnsi="Times New Roman"/>
          <w:sz w:val="28"/>
          <w:szCs w:val="28"/>
        </w:rPr>
        <w:t>da costituire un vero e proprio “nodo gordiano”</w:t>
      </w:r>
      <w:r w:rsidR="00CB764A">
        <w:rPr>
          <w:rFonts w:ascii="Times New Roman" w:hAnsi="Times New Roman"/>
          <w:sz w:val="28"/>
          <w:szCs w:val="28"/>
        </w:rPr>
        <w:t>,</w:t>
      </w:r>
      <w:r w:rsidR="002A57D8">
        <w:rPr>
          <w:rFonts w:ascii="Times New Roman" w:hAnsi="Times New Roman"/>
          <w:sz w:val="28"/>
          <w:szCs w:val="28"/>
        </w:rPr>
        <w:t xml:space="preserve"> </w:t>
      </w:r>
      <w:r>
        <w:rPr>
          <w:rFonts w:ascii="Times New Roman" w:hAnsi="Times New Roman"/>
          <w:sz w:val="28"/>
          <w:szCs w:val="28"/>
        </w:rPr>
        <w:t xml:space="preserve">non possono che essere </w:t>
      </w:r>
      <w:r w:rsidR="00CB764A">
        <w:rPr>
          <w:rFonts w:ascii="Times New Roman" w:hAnsi="Times New Roman"/>
          <w:sz w:val="28"/>
          <w:szCs w:val="28"/>
        </w:rPr>
        <w:t xml:space="preserve">oggetto della </w:t>
      </w:r>
      <w:r>
        <w:rPr>
          <w:rFonts w:ascii="Times New Roman" w:hAnsi="Times New Roman"/>
          <w:sz w:val="28"/>
          <w:szCs w:val="28"/>
        </w:rPr>
        <w:t>medesima</w:t>
      </w:r>
      <w:r w:rsidR="00CB764A">
        <w:rPr>
          <w:rFonts w:ascii="Times New Roman" w:hAnsi="Times New Roman"/>
          <w:sz w:val="28"/>
          <w:szCs w:val="28"/>
        </w:rPr>
        <w:t xml:space="preserve"> discrezionalità che governa la nomina di un qualsiasi altro ausiliare ex art. 68 </w:t>
      </w:r>
      <w:proofErr w:type="spellStart"/>
      <w:r w:rsidR="00CB764A">
        <w:rPr>
          <w:rFonts w:ascii="Times New Roman" w:hAnsi="Times New Roman"/>
          <w:sz w:val="28"/>
          <w:szCs w:val="28"/>
        </w:rPr>
        <w:t>c.p.c.</w:t>
      </w:r>
      <w:proofErr w:type="spellEnd"/>
      <w:r w:rsidR="002A57D8">
        <w:rPr>
          <w:rFonts w:ascii="Times New Roman" w:hAnsi="Times New Roman"/>
          <w:sz w:val="28"/>
          <w:szCs w:val="28"/>
        </w:rPr>
        <w:t xml:space="preserve"> </w:t>
      </w:r>
    </w:p>
    <w:p w:rsidR="0015662F" w:rsidRDefault="00353BFF" w:rsidP="00D45718">
      <w:pPr>
        <w:spacing w:after="0" w:line="360" w:lineRule="auto"/>
        <w:jc w:val="both"/>
        <w:rPr>
          <w:rFonts w:ascii="Times New Roman" w:hAnsi="Times New Roman"/>
          <w:sz w:val="28"/>
          <w:szCs w:val="28"/>
        </w:rPr>
      </w:pPr>
      <w:r>
        <w:rPr>
          <w:rFonts w:ascii="Times New Roman" w:hAnsi="Times New Roman"/>
          <w:sz w:val="28"/>
          <w:szCs w:val="28"/>
        </w:rPr>
        <w:t xml:space="preserve">Tuttavia </w:t>
      </w:r>
      <w:r w:rsidR="0015662F">
        <w:rPr>
          <w:rFonts w:ascii="Times New Roman" w:hAnsi="Times New Roman"/>
          <w:sz w:val="28"/>
          <w:szCs w:val="28"/>
        </w:rPr>
        <w:t xml:space="preserve">recenti pronunce del Giudice Amministrativo su alcune peculiari fattispecie applicative delle suddette prassi sembrano invece postulare l’esatto contrario, riconducendo nell’alveo della mera amministrazione l’attività di selezione e, in parte, </w:t>
      </w:r>
      <w:r w:rsidR="0015662F">
        <w:rPr>
          <w:rFonts w:ascii="Times New Roman" w:hAnsi="Times New Roman"/>
          <w:sz w:val="28"/>
          <w:szCs w:val="28"/>
        </w:rPr>
        <w:lastRenderedPageBreak/>
        <w:t xml:space="preserve">anche di nomina dei gestori di servizi strumentali alle vendite giudiziarie con conseguente applicazione del Codice degli Appalti Pubblici. </w:t>
      </w:r>
    </w:p>
    <w:p w:rsidR="000F1AE2" w:rsidRDefault="0015662F" w:rsidP="00D45718">
      <w:pPr>
        <w:spacing w:after="0" w:line="360" w:lineRule="auto"/>
        <w:jc w:val="both"/>
        <w:rPr>
          <w:rFonts w:ascii="Times New Roman" w:hAnsi="Times New Roman"/>
          <w:sz w:val="28"/>
          <w:szCs w:val="28"/>
        </w:rPr>
      </w:pPr>
      <w:r w:rsidRPr="0015662F">
        <w:rPr>
          <w:rFonts w:ascii="Times New Roman" w:hAnsi="Times New Roman"/>
          <w:sz w:val="28"/>
          <w:szCs w:val="28"/>
        </w:rPr>
        <w:t>Le novità normative connesse all’attuazione del Portale delle vendite pubbliche e all’obbligo di vendita telematica</w:t>
      </w:r>
      <w:r>
        <w:rPr>
          <w:rFonts w:ascii="Times New Roman" w:hAnsi="Times New Roman"/>
          <w:sz w:val="28"/>
          <w:szCs w:val="28"/>
        </w:rPr>
        <w:t xml:space="preserve"> rischiano così di ampliare e complicare l’ambito di incertezza ed ambiguità che regna sull’argomento.  </w:t>
      </w:r>
    </w:p>
    <w:p w:rsidR="00FF0245" w:rsidRPr="00FF0245" w:rsidRDefault="00FF0245" w:rsidP="00FF0245">
      <w:pPr>
        <w:spacing w:after="0" w:line="360" w:lineRule="auto"/>
        <w:jc w:val="center"/>
        <w:rPr>
          <w:rFonts w:ascii="Times New Roman" w:hAnsi="Times New Roman"/>
          <w:b/>
          <w:sz w:val="28"/>
          <w:szCs w:val="28"/>
        </w:rPr>
      </w:pPr>
      <w:r w:rsidRPr="00FF0245">
        <w:rPr>
          <w:rFonts w:ascii="Times New Roman" w:hAnsi="Times New Roman"/>
          <w:b/>
          <w:sz w:val="28"/>
          <w:szCs w:val="28"/>
        </w:rPr>
        <w:t>(DIS)ORIENTAMENTI DEL GA</w:t>
      </w:r>
    </w:p>
    <w:p w:rsidR="00FF0245" w:rsidRDefault="00FF0245" w:rsidP="00D45718">
      <w:pPr>
        <w:spacing w:after="0" w:line="360" w:lineRule="auto"/>
        <w:jc w:val="both"/>
        <w:rPr>
          <w:rFonts w:ascii="Times New Roman" w:hAnsi="Times New Roman"/>
          <w:sz w:val="28"/>
          <w:szCs w:val="28"/>
        </w:rPr>
      </w:pPr>
      <w:r>
        <w:rPr>
          <w:rFonts w:ascii="Times New Roman" w:hAnsi="Times New Roman"/>
          <w:sz w:val="28"/>
          <w:szCs w:val="28"/>
        </w:rPr>
        <w:t xml:space="preserve">Premessa doverosa è che le fattispecie giunte alla cognizione dei TAR e del </w:t>
      </w:r>
      <w:proofErr w:type="spellStart"/>
      <w:r>
        <w:rPr>
          <w:rFonts w:ascii="Times New Roman" w:hAnsi="Times New Roman"/>
          <w:sz w:val="28"/>
          <w:szCs w:val="28"/>
        </w:rPr>
        <w:t>C</w:t>
      </w:r>
      <w:r w:rsidR="006821DD">
        <w:rPr>
          <w:rFonts w:ascii="Times New Roman" w:hAnsi="Times New Roman"/>
          <w:sz w:val="28"/>
          <w:szCs w:val="28"/>
        </w:rPr>
        <w:t>d</w:t>
      </w:r>
      <w:r>
        <w:rPr>
          <w:rFonts w:ascii="Times New Roman" w:hAnsi="Times New Roman"/>
          <w:sz w:val="28"/>
          <w:szCs w:val="28"/>
        </w:rPr>
        <w:t>S</w:t>
      </w:r>
      <w:proofErr w:type="spellEnd"/>
      <w:r>
        <w:rPr>
          <w:rFonts w:ascii="Times New Roman" w:hAnsi="Times New Roman"/>
          <w:sz w:val="28"/>
          <w:szCs w:val="28"/>
        </w:rPr>
        <w:t xml:space="preserve"> sono diverse e peculiari ma, nonostante ciò, è possibile individuare alcune linee interpretative ricorrenti, se non l’affermazione di principi generali. </w:t>
      </w:r>
    </w:p>
    <w:p w:rsidR="004319B3" w:rsidRDefault="00FF0245" w:rsidP="00D45718">
      <w:pPr>
        <w:spacing w:after="0" w:line="360" w:lineRule="auto"/>
        <w:jc w:val="both"/>
        <w:rPr>
          <w:rFonts w:ascii="Times New Roman" w:hAnsi="Times New Roman"/>
          <w:sz w:val="28"/>
          <w:szCs w:val="28"/>
        </w:rPr>
      </w:pPr>
      <w:r>
        <w:rPr>
          <w:rFonts w:ascii="Times New Roman" w:hAnsi="Times New Roman"/>
          <w:sz w:val="28"/>
          <w:szCs w:val="28"/>
        </w:rPr>
        <w:t xml:space="preserve">- Innanzitutto </w:t>
      </w:r>
      <w:r w:rsidR="004319B3">
        <w:rPr>
          <w:rFonts w:ascii="Times New Roman" w:hAnsi="Times New Roman"/>
          <w:sz w:val="28"/>
          <w:szCs w:val="28"/>
        </w:rPr>
        <w:t>quasi tutte le</w:t>
      </w:r>
      <w:r>
        <w:rPr>
          <w:rFonts w:ascii="Times New Roman" w:hAnsi="Times New Roman"/>
          <w:sz w:val="28"/>
          <w:szCs w:val="28"/>
        </w:rPr>
        <w:t xml:space="preserve"> sentenze dei TAR e del CDS </w:t>
      </w:r>
      <w:r w:rsidR="004319B3">
        <w:rPr>
          <w:rFonts w:ascii="Times New Roman" w:hAnsi="Times New Roman"/>
          <w:sz w:val="28"/>
          <w:szCs w:val="28"/>
        </w:rPr>
        <w:t xml:space="preserve">(ad es. da ultimo </w:t>
      </w:r>
      <w:r w:rsidR="004319B3" w:rsidRPr="002C6012">
        <w:rPr>
          <w:rFonts w:ascii="Times New Roman" w:hAnsi="Times New Roman"/>
          <w:i/>
          <w:sz w:val="28"/>
          <w:szCs w:val="28"/>
        </w:rPr>
        <w:t xml:space="preserve">in </w:t>
      </w:r>
      <w:proofErr w:type="spellStart"/>
      <w:r w:rsidR="004319B3" w:rsidRPr="002C6012">
        <w:rPr>
          <w:rFonts w:ascii="Times New Roman" w:hAnsi="Times New Roman"/>
          <w:i/>
          <w:sz w:val="28"/>
          <w:szCs w:val="28"/>
        </w:rPr>
        <w:t>obiter</w:t>
      </w:r>
      <w:proofErr w:type="spellEnd"/>
      <w:r w:rsidR="004319B3" w:rsidRPr="002C6012">
        <w:rPr>
          <w:rFonts w:ascii="Times New Roman" w:hAnsi="Times New Roman"/>
          <w:i/>
          <w:sz w:val="28"/>
          <w:szCs w:val="28"/>
        </w:rPr>
        <w:t xml:space="preserve"> </w:t>
      </w:r>
      <w:proofErr w:type="spellStart"/>
      <w:r w:rsidR="002C6012" w:rsidRPr="002C6012">
        <w:rPr>
          <w:rFonts w:ascii="Times New Roman" w:hAnsi="Times New Roman"/>
          <w:i/>
          <w:sz w:val="28"/>
          <w:szCs w:val="28"/>
        </w:rPr>
        <w:t>dictum</w:t>
      </w:r>
      <w:proofErr w:type="spellEnd"/>
      <w:r w:rsidR="002C6012">
        <w:rPr>
          <w:rFonts w:ascii="Times New Roman" w:hAnsi="Times New Roman"/>
          <w:sz w:val="28"/>
          <w:szCs w:val="28"/>
        </w:rPr>
        <w:t xml:space="preserve"> </w:t>
      </w:r>
      <w:r w:rsidR="004319B3">
        <w:rPr>
          <w:rFonts w:ascii="Times New Roman" w:hAnsi="Times New Roman"/>
          <w:sz w:val="28"/>
          <w:szCs w:val="28"/>
        </w:rPr>
        <w:t>TAR Lombardia</w:t>
      </w:r>
      <w:r w:rsidR="002C6012">
        <w:rPr>
          <w:rFonts w:ascii="Times New Roman" w:hAnsi="Times New Roman"/>
          <w:sz w:val="28"/>
          <w:szCs w:val="28"/>
        </w:rPr>
        <w:t>,</w:t>
      </w:r>
      <w:r w:rsidR="004319B3">
        <w:rPr>
          <w:rFonts w:ascii="Times New Roman" w:hAnsi="Times New Roman"/>
          <w:sz w:val="28"/>
          <w:szCs w:val="28"/>
        </w:rPr>
        <w:t xml:space="preserve"> </w:t>
      </w:r>
      <w:r w:rsidR="002C6012" w:rsidRPr="002C6012">
        <w:rPr>
          <w:rFonts w:ascii="Times New Roman" w:hAnsi="Times New Roman"/>
          <w:sz w:val="28"/>
          <w:szCs w:val="28"/>
        </w:rPr>
        <w:t>sede di Milano</w:t>
      </w:r>
      <w:r w:rsidR="002C6012">
        <w:rPr>
          <w:rFonts w:ascii="Times New Roman" w:hAnsi="Times New Roman"/>
          <w:sz w:val="28"/>
          <w:szCs w:val="28"/>
        </w:rPr>
        <w:t>,</w:t>
      </w:r>
      <w:r w:rsidR="002C6012" w:rsidRPr="002C6012">
        <w:rPr>
          <w:rFonts w:ascii="Times New Roman" w:hAnsi="Times New Roman"/>
          <w:sz w:val="28"/>
          <w:szCs w:val="28"/>
        </w:rPr>
        <w:t xml:space="preserve"> del 06.04.2017</w:t>
      </w:r>
      <w:r w:rsidR="002C6012">
        <w:rPr>
          <w:rFonts w:ascii="Times New Roman" w:hAnsi="Times New Roman"/>
          <w:sz w:val="28"/>
          <w:szCs w:val="28"/>
        </w:rPr>
        <w:t xml:space="preserve"> </w:t>
      </w:r>
      <w:r w:rsidR="004319B3">
        <w:rPr>
          <w:rFonts w:ascii="Times New Roman" w:hAnsi="Times New Roman"/>
          <w:sz w:val="28"/>
          <w:szCs w:val="28"/>
        </w:rPr>
        <w:t xml:space="preserve">e </w:t>
      </w:r>
      <w:proofErr w:type="spellStart"/>
      <w:r w:rsidR="004319B3">
        <w:rPr>
          <w:rFonts w:ascii="Times New Roman" w:hAnsi="Times New Roman"/>
          <w:sz w:val="28"/>
          <w:szCs w:val="28"/>
        </w:rPr>
        <w:t>CdS</w:t>
      </w:r>
      <w:proofErr w:type="spellEnd"/>
      <w:r w:rsidR="004319B3">
        <w:rPr>
          <w:rFonts w:ascii="Times New Roman" w:hAnsi="Times New Roman"/>
          <w:sz w:val="28"/>
          <w:szCs w:val="28"/>
        </w:rPr>
        <w:t xml:space="preserve"> </w:t>
      </w:r>
      <w:r w:rsidR="002C6012">
        <w:rPr>
          <w:rFonts w:ascii="Times New Roman" w:hAnsi="Times New Roman"/>
          <w:sz w:val="28"/>
          <w:szCs w:val="28"/>
        </w:rPr>
        <w:t>del 3.5.2016</w:t>
      </w:r>
      <w:r w:rsidR="004319B3">
        <w:rPr>
          <w:rFonts w:ascii="Times New Roman" w:hAnsi="Times New Roman"/>
          <w:sz w:val="28"/>
          <w:szCs w:val="28"/>
        </w:rPr>
        <w:t xml:space="preserve">) </w:t>
      </w:r>
      <w:r>
        <w:rPr>
          <w:rFonts w:ascii="Times New Roman" w:hAnsi="Times New Roman"/>
          <w:sz w:val="28"/>
          <w:szCs w:val="28"/>
        </w:rPr>
        <w:t xml:space="preserve">tendono a riconoscere la </w:t>
      </w:r>
      <w:r w:rsidRPr="004319B3">
        <w:rPr>
          <w:rFonts w:ascii="Times New Roman" w:hAnsi="Times New Roman"/>
          <w:b/>
          <w:sz w:val="28"/>
          <w:szCs w:val="28"/>
        </w:rPr>
        <w:t>discrezionalità del GE nell’adozione di ogni singolo provvedimento di nomina</w:t>
      </w:r>
      <w:r>
        <w:rPr>
          <w:rFonts w:ascii="Times New Roman" w:hAnsi="Times New Roman"/>
          <w:sz w:val="28"/>
          <w:szCs w:val="28"/>
        </w:rPr>
        <w:t xml:space="preserve"> del gestore della pubblicità o di individuazione delle testate su cui effettuare la pubblicazione. </w:t>
      </w:r>
      <w:r w:rsidR="004319B3">
        <w:rPr>
          <w:rFonts w:ascii="Times New Roman" w:hAnsi="Times New Roman"/>
          <w:sz w:val="28"/>
          <w:szCs w:val="28"/>
        </w:rPr>
        <w:t xml:space="preserve">Tale potere, ricondotto alla direzione del procedimento ed in particolare agli artt. 68 e 490 </w:t>
      </w:r>
      <w:proofErr w:type="spellStart"/>
      <w:r w:rsidR="004319B3">
        <w:rPr>
          <w:rFonts w:ascii="Times New Roman" w:hAnsi="Times New Roman"/>
          <w:sz w:val="28"/>
          <w:szCs w:val="28"/>
        </w:rPr>
        <w:t>c.p.c.</w:t>
      </w:r>
      <w:proofErr w:type="spellEnd"/>
      <w:r w:rsidR="004319B3">
        <w:rPr>
          <w:rFonts w:ascii="Times New Roman" w:hAnsi="Times New Roman"/>
          <w:sz w:val="28"/>
          <w:szCs w:val="28"/>
        </w:rPr>
        <w:t xml:space="preserve">, è ritenuto di natura giurisdizionale così che gli atti di nomina possono essere impugnati esclusivamente dalle parti (e non anche da eventuali imprese concorrenti pretermesse) secondo i mezzi predisposti dal codice. </w:t>
      </w:r>
    </w:p>
    <w:p w:rsidR="00FF0245" w:rsidRDefault="004319B3" w:rsidP="00D45718">
      <w:pPr>
        <w:spacing w:after="0" w:line="360" w:lineRule="auto"/>
        <w:jc w:val="both"/>
        <w:rPr>
          <w:rFonts w:ascii="Times New Roman" w:hAnsi="Times New Roman"/>
          <w:sz w:val="28"/>
          <w:szCs w:val="28"/>
        </w:rPr>
      </w:pPr>
      <w:r>
        <w:rPr>
          <w:rFonts w:ascii="Times New Roman" w:hAnsi="Times New Roman"/>
          <w:sz w:val="28"/>
          <w:szCs w:val="28"/>
        </w:rPr>
        <w:t xml:space="preserve">Nonostante la quasi unanimità delle pronunce in questo senso, si deve segnalare la sentenza del TAR Lombardia, sede di Brescia, </w:t>
      </w:r>
      <w:r w:rsidR="002C6012">
        <w:rPr>
          <w:rFonts w:ascii="Times New Roman" w:hAnsi="Times New Roman"/>
          <w:sz w:val="28"/>
          <w:szCs w:val="28"/>
        </w:rPr>
        <w:t>del 10.11.2014,</w:t>
      </w:r>
      <w:r>
        <w:rPr>
          <w:rFonts w:ascii="Times New Roman" w:hAnsi="Times New Roman"/>
          <w:sz w:val="28"/>
          <w:szCs w:val="28"/>
        </w:rPr>
        <w:t xml:space="preserve"> che sostiene la natura amministrativa della nomina, anche se inserita nel provvedimento giurisdizionale, così da sostenere, in mancanza di convenzione volta a regolare in generale l’individuazione del gestore, l’applicazione del principio di rotazione ai sensi del </w:t>
      </w:r>
      <w:r w:rsidR="002C6012">
        <w:rPr>
          <w:rFonts w:ascii="Times New Roman" w:hAnsi="Times New Roman"/>
          <w:sz w:val="28"/>
          <w:szCs w:val="28"/>
        </w:rPr>
        <w:t xml:space="preserve">57 comma 6° del Codice dei contratti pubblici. </w:t>
      </w:r>
      <w:r>
        <w:rPr>
          <w:rFonts w:ascii="Times New Roman" w:hAnsi="Times New Roman"/>
          <w:sz w:val="28"/>
          <w:szCs w:val="28"/>
        </w:rPr>
        <w:t xml:space="preserve">Nulla però afferma il TAR Lombardia sulla possibilità dell’impresa concorrente pretermessa di impugnare la parte amministrativa del provvedimento giurisdizionale per violazione del principio di rotazione. </w:t>
      </w:r>
    </w:p>
    <w:p w:rsidR="006821DD" w:rsidRDefault="007B0A06" w:rsidP="00D45718">
      <w:pPr>
        <w:spacing w:after="0" w:line="360" w:lineRule="auto"/>
        <w:jc w:val="both"/>
        <w:rPr>
          <w:rFonts w:ascii="Times New Roman" w:hAnsi="Times New Roman"/>
          <w:sz w:val="28"/>
          <w:szCs w:val="28"/>
        </w:rPr>
      </w:pPr>
      <w:r>
        <w:rPr>
          <w:rFonts w:ascii="Times New Roman" w:hAnsi="Times New Roman"/>
          <w:sz w:val="28"/>
          <w:szCs w:val="28"/>
        </w:rPr>
        <w:t xml:space="preserve">- Di contro </w:t>
      </w:r>
      <w:r w:rsidRPr="007B0A06">
        <w:rPr>
          <w:rFonts w:ascii="Times New Roman" w:hAnsi="Times New Roman"/>
          <w:b/>
          <w:sz w:val="28"/>
          <w:szCs w:val="28"/>
        </w:rPr>
        <w:t>il GA tende a considerare illegittime le</w:t>
      </w:r>
      <w:r w:rsidR="004319B3" w:rsidRPr="007B0A06">
        <w:rPr>
          <w:rFonts w:ascii="Times New Roman" w:hAnsi="Times New Roman"/>
          <w:b/>
          <w:sz w:val="28"/>
          <w:szCs w:val="28"/>
        </w:rPr>
        <w:t xml:space="preserve"> variegate prassi di coordinamento d</w:t>
      </w:r>
      <w:r w:rsidR="00FF4481" w:rsidRPr="007B0A06">
        <w:rPr>
          <w:rFonts w:ascii="Times New Roman" w:hAnsi="Times New Roman"/>
          <w:b/>
          <w:sz w:val="28"/>
          <w:szCs w:val="28"/>
        </w:rPr>
        <w:t>el potere di nomina</w:t>
      </w:r>
      <w:r w:rsidR="00FF4481">
        <w:rPr>
          <w:rFonts w:ascii="Times New Roman" w:hAnsi="Times New Roman"/>
          <w:sz w:val="28"/>
          <w:szCs w:val="28"/>
        </w:rPr>
        <w:t xml:space="preserve">, con conseguente individuazione stabile del </w:t>
      </w:r>
      <w:r w:rsidR="00FF4481">
        <w:rPr>
          <w:rFonts w:ascii="Times New Roman" w:hAnsi="Times New Roman"/>
          <w:sz w:val="28"/>
          <w:szCs w:val="28"/>
        </w:rPr>
        <w:lastRenderedPageBreak/>
        <w:t>gestore del servizio per più procedimenti</w:t>
      </w:r>
      <w:r>
        <w:rPr>
          <w:rFonts w:ascii="Times New Roman" w:hAnsi="Times New Roman"/>
          <w:sz w:val="28"/>
          <w:szCs w:val="28"/>
        </w:rPr>
        <w:t>, in quanto è sostenuta la soggezione al codice dei contratti pubblici</w:t>
      </w:r>
      <w:r w:rsidR="006821DD">
        <w:rPr>
          <w:rFonts w:ascii="Times New Roman" w:hAnsi="Times New Roman"/>
          <w:sz w:val="28"/>
          <w:szCs w:val="28"/>
        </w:rPr>
        <w:t>.</w:t>
      </w:r>
    </w:p>
    <w:p w:rsidR="002C6012" w:rsidRDefault="006821DD" w:rsidP="002C6012">
      <w:pPr>
        <w:spacing w:after="0" w:line="360" w:lineRule="auto"/>
        <w:jc w:val="both"/>
        <w:rPr>
          <w:rFonts w:ascii="Times New Roman" w:hAnsi="Times New Roman"/>
          <w:sz w:val="28"/>
          <w:szCs w:val="28"/>
        </w:rPr>
      </w:pPr>
      <w:r>
        <w:rPr>
          <w:rFonts w:ascii="Times New Roman" w:hAnsi="Times New Roman"/>
          <w:sz w:val="28"/>
          <w:szCs w:val="28"/>
        </w:rPr>
        <w:t xml:space="preserve">La motivazione più chiara ed estesa sul punto si legge in TAR </w:t>
      </w:r>
      <w:proofErr w:type="spellStart"/>
      <w:r>
        <w:rPr>
          <w:rFonts w:ascii="Times New Roman" w:hAnsi="Times New Roman"/>
          <w:sz w:val="28"/>
          <w:szCs w:val="28"/>
        </w:rPr>
        <w:t>Lombadia</w:t>
      </w:r>
      <w:proofErr w:type="spellEnd"/>
      <w:r>
        <w:rPr>
          <w:rFonts w:ascii="Times New Roman" w:hAnsi="Times New Roman"/>
          <w:sz w:val="28"/>
          <w:szCs w:val="28"/>
        </w:rPr>
        <w:t xml:space="preserve"> del 10.11.2014: le</w:t>
      </w:r>
      <w:r w:rsidRPr="006821DD">
        <w:rPr>
          <w:rFonts w:ascii="Times New Roman" w:hAnsi="Times New Roman"/>
          <w:sz w:val="28"/>
          <w:szCs w:val="28"/>
        </w:rPr>
        <w:t xml:space="preserve"> prestazioni </w:t>
      </w:r>
      <w:r>
        <w:rPr>
          <w:rFonts w:ascii="Times New Roman" w:hAnsi="Times New Roman"/>
          <w:sz w:val="28"/>
          <w:szCs w:val="28"/>
        </w:rPr>
        <w:t xml:space="preserve">di cui si tratta </w:t>
      </w:r>
      <w:r w:rsidRPr="006821DD">
        <w:rPr>
          <w:rFonts w:ascii="Times New Roman" w:hAnsi="Times New Roman"/>
          <w:sz w:val="28"/>
          <w:szCs w:val="28"/>
        </w:rPr>
        <w:t>rientrano nell’alveo del codice dei contratti pubblici</w:t>
      </w:r>
      <w:r>
        <w:rPr>
          <w:rFonts w:ascii="Times New Roman" w:hAnsi="Times New Roman"/>
          <w:sz w:val="28"/>
          <w:szCs w:val="28"/>
        </w:rPr>
        <w:t xml:space="preserve"> e ricorrono</w:t>
      </w:r>
      <w:r w:rsidRPr="006821DD">
        <w:rPr>
          <w:rFonts w:ascii="Times New Roman" w:hAnsi="Times New Roman"/>
          <w:sz w:val="28"/>
          <w:szCs w:val="28"/>
        </w:rPr>
        <w:t xml:space="preserve"> i tre requisiti di cui all’art. 30 comma 2 </w:t>
      </w:r>
      <w:r>
        <w:rPr>
          <w:rFonts w:ascii="Times New Roman" w:hAnsi="Times New Roman"/>
          <w:sz w:val="28"/>
          <w:szCs w:val="28"/>
        </w:rPr>
        <w:t>in tema di</w:t>
      </w:r>
      <w:r w:rsidRPr="006821DD">
        <w:rPr>
          <w:rFonts w:ascii="Times New Roman" w:hAnsi="Times New Roman"/>
          <w:sz w:val="28"/>
          <w:szCs w:val="28"/>
        </w:rPr>
        <w:t xml:space="preserve"> concessione di servizi</w:t>
      </w:r>
      <w:r>
        <w:rPr>
          <w:rFonts w:ascii="Times New Roman" w:hAnsi="Times New Roman"/>
          <w:sz w:val="28"/>
          <w:szCs w:val="28"/>
        </w:rPr>
        <w:t xml:space="preserve"> (cioè il</w:t>
      </w:r>
      <w:r w:rsidRPr="006821DD">
        <w:rPr>
          <w:rFonts w:ascii="Times New Roman" w:hAnsi="Times New Roman"/>
          <w:sz w:val="28"/>
          <w:szCs w:val="28"/>
        </w:rPr>
        <w:t xml:space="preserve"> collegamento con la funzione pubblica</w:t>
      </w:r>
      <w:r>
        <w:rPr>
          <w:rFonts w:ascii="Times New Roman" w:hAnsi="Times New Roman"/>
          <w:sz w:val="28"/>
          <w:szCs w:val="28"/>
        </w:rPr>
        <w:t>,</w:t>
      </w:r>
      <w:r w:rsidRPr="006821DD">
        <w:rPr>
          <w:rFonts w:ascii="Times New Roman" w:hAnsi="Times New Roman"/>
          <w:sz w:val="28"/>
          <w:szCs w:val="28"/>
        </w:rPr>
        <w:t xml:space="preserve"> </w:t>
      </w:r>
      <w:r>
        <w:rPr>
          <w:rFonts w:ascii="Times New Roman" w:hAnsi="Times New Roman"/>
          <w:sz w:val="28"/>
          <w:szCs w:val="28"/>
        </w:rPr>
        <w:t>fruizione del servizio da parte degli utenti</w:t>
      </w:r>
      <w:r w:rsidRPr="006821DD">
        <w:rPr>
          <w:rFonts w:ascii="Times New Roman" w:hAnsi="Times New Roman"/>
          <w:sz w:val="28"/>
          <w:szCs w:val="28"/>
        </w:rPr>
        <w:t>; rischio di gestione sul</w:t>
      </w:r>
      <w:r>
        <w:rPr>
          <w:rFonts w:ascii="Times New Roman" w:hAnsi="Times New Roman"/>
          <w:sz w:val="28"/>
          <w:szCs w:val="28"/>
        </w:rPr>
        <w:t xml:space="preserve"> gestore). </w:t>
      </w:r>
      <w:r w:rsidR="002C6012">
        <w:rPr>
          <w:rFonts w:ascii="Times New Roman" w:hAnsi="Times New Roman"/>
          <w:sz w:val="28"/>
          <w:szCs w:val="28"/>
        </w:rPr>
        <w:t xml:space="preserve">Ma tale assunto è anche il presupposto delle altre sentenze, tra cui quelle del </w:t>
      </w:r>
      <w:proofErr w:type="spellStart"/>
      <w:r w:rsidR="002C6012">
        <w:rPr>
          <w:rFonts w:ascii="Times New Roman" w:hAnsi="Times New Roman"/>
          <w:sz w:val="28"/>
          <w:szCs w:val="28"/>
        </w:rPr>
        <w:t>CdS</w:t>
      </w:r>
      <w:proofErr w:type="spellEnd"/>
      <w:r w:rsidR="002C6012">
        <w:rPr>
          <w:rFonts w:ascii="Times New Roman" w:hAnsi="Times New Roman"/>
          <w:sz w:val="28"/>
          <w:szCs w:val="28"/>
        </w:rPr>
        <w:t xml:space="preserve"> (vedi espressamente la premessa di </w:t>
      </w:r>
      <w:proofErr w:type="spellStart"/>
      <w:r w:rsidR="002C6012">
        <w:rPr>
          <w:rFonts w:ascii="Times New Roman" w:hAnsi="Times New Roman"/>
          <w:sz w:val="28"/>
          <w:szCs w:val="28"/>
        </w:rPr>
        <w:t>CdS</w:t>
      </w:r>
      <w:proofErr w:type="spellEnd"/>
      <w:r w:rsidR="002C6012">
        <w:rPr>
          <w:rFonts w:ascii="Times New Roman" w:hAnsi="Times New Roman"/>
          <w:sz w:val="28"/>
          <w:szCs w:val="28"/>
        </w:rPr>
        <w:t xml:space="preserve"> del 3.5.2016).</w:t>
      </w:r>
    </w:p>
    <w:p w:rsidR="002C6012" w:rsidRDefault="002C6012" w:rsidP="002C6012">
      <w:pPr>
        <w:spacing w:after="0" w:line="360" w:lineRule="auto"/>
        <w:jc w:val="both"/>
        <w:rPr>
          <w:rFonts w:ascii="Times New Roman" w:hAnsi="Times New Roman"/>
          <w:sz w:val="28"/>
          <w:szCs w:val="28"/>
        </w:rPr>
      </w:pPr>
      <w:r>
        <w:rPr>
          <w:rFonts w:ascii="Times New Roman" w:hAnsi="Times New Roman"/>
          <w:sz w:val="28"/>
          <w:szCs w:val="28"/>
        </w:rPr>
        <w:t xml:space="preserve">Tale affermazione non è impedita dall’assenza di espresse norme che attribuiscano al Tribunale o qualche suo organo il potere di bandire la gara ad evidenza pubblica per l’individuazione del gestore del servizio, né dall’assenza di qualsiasi dovere del singolo Magistrato di uniformarsi all’esito della gara.  </w:t>
      </w:r>
    </w:p>
    <w:p w:rsidR="00C424C1" w:rsidRDefault="002C6012" w:rsidP="00C424C1">
      <w:pPr>
        <w:spacing w:after="0" w:line="360" w:lineRule="auto"/>
        <w:jc w:val="both"/>
        <w:rPr>
          <w:rFonts w:ascii="Times New Roman" w:hAnsi="Times New Roman"/>
          <w:sz w:val="28"/>
          <w:szCs w:val="28"/>
        </w:rPr>
      </w:pPr>
      <w:r>
        <w:rPr>
          <w:rFonts w:ascii="Times New Roman" w:hAnsi="Times New Roman"/>
          <w:sz w:val="28"/>
          <w:szCs w:val="28"/>
        </w:rPr>
        <w:t>Infatti i Giudici Amministrativi, pur rilevando l’assenza di norme attributive d</w:t>
      </w:r>
      <w:r w:rsidR="003D7509">
        <w:rPr>
          <w:rFonts w:ascii="Times New Roman" w:hAnsi="Times New Roman"/>
          <w:sz w:val="28"/>
          <w:szCs w:val="28"/>
        </w:rPr>
        <w:t>i tale</w:t>
      </w:r>
      <w:r>
        <w:rPr>
          <w:rFonts w:ascii="Times New Roman" w:hAnsi="Times New Roman"/>
          <w:sz w:val="28"/>
          <w:szCs w:val="28"/>
        </w:rPr>
        <w:t xml:space="preserve"> potere amministrativo, tendono a qualificare l’Assemblea </w:t>
      </w:r>
      <w:r w:rsidR="009341F4">
        <w:rPr>
          <w:rFonts w:ascii="Times New Roman" w:hAnsi="Times New Roman"/>
          <w:sz w:val="28"/>
          <w:szCs w:val="28"/>
        </w:rPr>
        <w:t>di coordinamento dei giudici civili (</w:t>
      </w:r>
      <w:proofErr w:type="spellStart"/>
      <w:r w:rsidR="009341F4">
        <w:rPr>
          <w:rFonts w:ascii="Times New Roman" w:hAnsi="Times New Roman"/>
          <w:sz w:val="28"/>
          <w:szCs w:val="28"/>
        </w:rPr>
        <w:t>CdS</w:t>
      </w:r>
      <w:proofErr w:type="spellEnd"/>
      <w:r w:rsidR="009341F4">
        <w:rPr>
          <w:rFonts w:ascii="Times New Roman" w:hAnsi="Times New Roman"/>
          <w:sz w:val="28"/>
          <w:szCs w:val="28"/>
        </w:rPr>
        <w:t xml:space="preserve"> n. 4140 del 2013) o la Commissione tecnica istituita dal Presidente di sezione (TAR </w:t>
      </w:r>
      <w:proofErr w:type="spellStart"/>
      <w:r w:rsidR="009341F4">
        <w:rPr>
          <w:rFonts w:ascii="Times New Roman" w:hAnsi="Times New Roman"/>
          <w:sz w:val="28"/>
          <w:szCs w:val="28"/>
        </w:rPr>
        <w:t>Lombadia</w:t>
      </w:r>
      <w:proofErr w:type="spellEnd"/>
      <w:r w:rsidR="009341F4">
        <w:rPr>
          <w:rFonts w:ascii="Times New Roman" w:hAnsi="Times New Roman"/>
          <w:sz w:val="28"/>
          <w:szCs w:val="28"/>
        </w:rPr>
        <w:t xml:space="preserve"> del 10.11.2014) come “organo straordinario della PA”, così non rilevando la carenza di potere in astratto e la conseguente nullità </w:t>
      </w:r>
      <w:r w:rsidR="00C424C1">
        <w:rPr>
          <w:rFonts w:ascii="Times New Roman" w:hAnsi="Times New Roman"/>
          <w:sz w:val="28"/>
          <w:szCs w:val="28"/>
        </w:rPr>
        <w:t xml:space="preserve">dei provvedimenti adottati da tale organo (nel senso della nullità la sentenza isolata di TAR Lombardia, </w:t>
      </w:r>
      <w:r w:rsidR="00C424C1" w:rsidRPr="00C424C1">
        <w:rPr>
          <w:rFonts w:ascii="Times New Roman" w:hAnsi="Times New Roman"/>
          <w:sz w:val="28"/>
          <w:szCs w:val="28"/>
        </w:rPr>
        <w:t>sede di Milano</w:t>
      </w:r>
      <w:r w:rsidR="00C424C1">
        <w:rPr>
          <w:rFonts w:ascii="Times New Roman" w:hAnsi="Times New Roman"/>
          <w:sz w:val="28"/>
          <w:szCs w:val="28"/>
        </w:rPr>
        <w:t>,</w:t>
      </w:r>
      <w:r w:rsidR="00C424C1" w:rsidRPr="00C424C1">
        <w:rPr>
          <w:rFonts w:ascii="Times New Roman" w:hAnsi="Times New Roman"/>
          <w:sz w:val="28"/>
          <w:szCs w:val="28"/>
        </w:rPr>
        <w:t xml:space="preserve"> del 06.04.2017</w:t>
      </w:r>
      <w:r w:rsidR="00C424C1">
        <w:rPr>
          <w:rFonts w:ascii="Times New Roman" w:hAnsi="Times New Roman"/>
          <w:sz w:val="28"/>
          <w:szCs w:val="28"/>
        </w:rPr>
        <w:t>, con riferimento all’</w:t>
      </w:r>
      <w:proofErr w:type="spellStart"/>
      <w:r w:rsidR="00C424C1">
        <w:rPr>
          <w:rFonts w:ascii="Times New Roman" w:hAnsi="Times New Roman"/>
          <w:sz w:val="28"/>
          <w:szCs w:val="28"/>
        </w:rPr>
        <w:t>autovincolo</w:t>
      </w:r>
      <w:proofErr w:type="spellEnd"/>
      <w:r w:rsidR="00C424C1">
        <w:rPr>
          <w:rFonts w:ascii="Times New Roman" w:hAnsi="Times New Roman"/>
          <w:sz w:val="28"/>
          <w:szCs w:val="28"/>
        </w:rPr>
        <w:t xml:space="preserve"> dell’unico GE di un piccolo Tribunale). Solo </w:t>
      </w:r>
      <w:r w:rsidR="00C424C1" w:rsidRPr="00C424C1">
        <w:rPr>
          <w:rFonts w:ascii="Times New Roman" w:hAnsi="Times New Roman"/>
          <w:sz w:val="28"/>
          <w:szCs w:val="28"/>
        </w:rPr>
        <w:t>TAR E</w:t>
      </w:r>
      <w:r w:rsidR="00C424C1">
        <w:rPr>
          <w:rFonts w:ascii="Times New Roman" w:hAnsi="Times New Roman"/>
          <w:sz w:val="28"/>
          <w:szCs w:val="28"/>
        </w:rPr>
        <w:t>milia</w:t>
      </w:r>
      <w:r w:rsidR="00C424C1" w:rsidRPr="00C424C1">
        <w:rPr>
          <w:rFonts w:ascii="Times New Roman" w:hAnsi="Times New Roman"/>
          <w:sz w:val="28"/>
          <w:szCs w:val="28"/>
        </w:rPr>
        <w:t xml:space="preserve"> R</w:t>
      </w:r>
      <w:r w:rsidR="00C424C1">
        <w:rPr>
          <w:rFonts w:ascii="Times New Roman" w:hAnsi="Times New Roman"/>
          <w:sz w:val="28"/>
          <w:szCs w:val="28"/>
        </w:rPr>
        <w:t>omagna</w:t>
      </w:r>
      <w:r w:rsidR="00C424C1" w:rsidRPr="00C424C1">
        <w:rPr>
          <w:rFonts w:ascii="Times New Roman" w:hAnsi="Times New Roman"/>
          <w:sz w:val="28"/>
          <w:szCs w:val="28"/>
        </w:rPr>
        <w:t xml:space="preserve"> del 26.02.2015</w:t>
      </w:r>
      <w:r w:rsidR="00C424C1">
        <w:rPr>
          <w:rFonts w:ascii="Times New Roman" w:hAnsi="Times New Roman"/>
          <w:sz w:val="28"/>
          <w:szCs w:val="28"/>
        </w:rPr>
        <w:t xml:space="preserve"> ritiene che le riunioni ex art. 47 ter O.G., in cui è stata disposta una indagine di mercato e stabilito di conseguenza uno standard minimo di pubblicità, non siano espressione di potere amministrativo in quanto di mero contenuto informativo, non vincolanti per i giudici e non finalizzate alla stipula di un contratto</w:t>
      </w:r>
      <w:r w:rsidR="00156B7E">
        <w:rPr>
          <w:rFonts w:ascii="Times New Roman" w:hAnsi="Times New Roman"/>
          <w:sz w:val="28"/>
          <w:szCs w:val="28"/>
        </w:rPr>
        <w:t>, così che, senza stigmatizzare alcuna carenza di potere in astratto, esclude la giurisdizione del GA</w:t>
      </w:r>
      <w:r w:rsidR="00C424C1">
        <w:rPr>
          <w:rFonts w:ascii="Times New Roman" w:hAnsi="Times New Roman"/>
          <w:sz w:val="28"/>
          <w:szCs w:val="28"/>
        </w:rPr>
        <w:t>.</w:t>
      </w:r>
    </w:p>
    <w:p w:rsidR="00215781" w:rsidRDefault="003D7509" w:rsidP="00C424C1">
      <w:pPr>
        <w:spacing w:after="0" w:line="360" w:lineRule="auto"/>
        <w:jc w:val="both"/>
        <w:rPr>
          <w:rFonts w:ascii="Times New Roman" w:hAnsi="Times New Roman"/>
          <w:sz w:val="28"/>
          <w:szCs w:val="28"/>
        </w:rPr>
      </w:pPr>
      <w:r>
        <w:rPr>
          <w:rFonts w:ascii="Times New Roman" w:hAnsi="Times New Roman"/>
          <w:sz w:val="28"/>
          <w:szCs w:val="28"/>
        </w:rPr>
        <w:t xml:space="preserve">Inoltre </w:t>
      </w:r>
      <w:r w:rsidR="00156B7E">
        <w:rPr>
          <w:rFonts w:ascii="Times New Roman" w:hAnsi="Times New Roman"/>
          <w:sz w:val="28"/>
          <w:szCs w:val="28"/>
        </w:rPr>
        <w:t>i Giudici Amministrativi sembrano ricondurre l’assenza di vincoli nei confronti del singolo Giudic</w:t>
      </w:r>
      <w:r w:rsidR="002F56D8">
        <w:rPr>
          <w:rFonts w:ascii="Times New Roman" w:hAnsi="Times New Roman"/>
          <w:sz w:val="28"/>
          <w:szCs w:val="28"/>
        </w:rPr>
        <w:t>e</w:t>
      </w:r>
      <w:r w:rsidR="00156B7E">
        <w:rPr>
          <w:rFonts w:ascii="Times New Roman" w:hAnsi="Times New Roman"/>
          <w:sz w:val="28"/>
          <w:szCs w:val="28"/>
        </w:rPr>
        <w:t xml:space="preserve"> al rischio imprenditoriale di ogni gestore di servizio pubblico (così TAR Lombardia, sede di Brescia, del 10.11.2014) oppure individuano </w:t>
      </w:r>
      <w:r w:rsidR="00156B7E">
        <w:rPr>
          <w:rFonts w:ascii="Times New Roman" w:hAnsi="Times New Roman"/>
          <w:sz w:val="28"/>
          <w:szCs w:val="28"/>
        </w:rPr>
        <w:lastRenderedPageBreak/>
        <w:t xml:space="preserve">il vincolo a livello fattuale nonostante l’espressa previsione nell’atto impugnato di conservazione in capo al Giudice della totale discrezionalità caso per caso (così TAR Lombardia, sede di Brescia, del 10.11.2014, TAR Lombardia, </w:t>
      </w:r>
      <w:r w:rsidR="00156B7E" w:rsidRPr="00C424C1">
        <w:rPr>
          <w:rFonts w:ascii="Times New Roman" w:hAnsi="Times New Roman"/>
          <w:sz w:val="28"/>
          <w:szCs w:val="28"/>
        </w:rPr>
        <w:t>sede di Milano</w:t>
      </w:r>
      <w:r w:rsidR="00156B7E">
        <w:rPr>
          <w:rFonts w:ascii="Times New Roman" w:hAnsi="Times New Roman"/>
          <w:sz w:val="28"/>
          <w:szCs w:val="28"/>
        </w:rPr>
        <w:t>,</w:t>
      </w:r>
      <w:r w:rsidR="00156B7E" w:rsidRPr="00C424C1">
        <w:rPr>
          <w:rFonts w:ascii="Times New Roman" w:hAnsi="Times New Roman"/>
          <w:sz w:val="28"/>
          <w:szCs w:val="28"/>
        </w:rPr>
        <w:t xml:space="preserve"> del 06.04.2017</w:t>
      </w:r>
      <w:r w:rsidR="00156B7E">
        <w:rPr>
          <w:rFonts w:ascii="Times New Roman" w:hAnsi="Times New Roman"/>
          <w:sz w:val="28"/>
          <w:szCs w:val="28"/>
        </w:rPr>
        <w:t>).</w:t>
      </w:r>
    </w:p>
    <w:p w:rsidR="000C2A75" w:rsidRDefault="000C2A75" w:rsidP="00C424C1">
      <w:pPr>
        <w:spacing w:after="0" w:line="360" w:lineRule="auto"/>
        <w:jc w:val="both"/>
        <w:rPr>
          <w:rFonts w:ascii="Times New Roman" w:hAnsi="Times New Roman"/>
          <w:sz w:val="28"/>
          <w:szCs w:val="28"/>
        </w:rPr>
      </w:pPr>
      <w:r>
        <w:rPr>
          <w:rFonts w:ascii="Times New Roman" w:hAnsi="Times New Roman"/>
          <w:sz w:val="28"/>
          <w:szCs w:val="28"/>
        </w:rPr>
        <w:t xml:space="preserve">Coerentemente con quanto illustrato, il </w:t>
      </w:r>
      <w:proofErr w:type="spellStart"/>
      <w:r>
        <w:rPr>
          <w:rFonts w:ascii="Times New Roman" w:hAnsi="Times New Roman"/>
          <w:sz w:val="28"/>
          <w:szCs w:val="28"/>
        </w:rPr>
        <w:t>CdS</w:t>
      </w:r>
      <w:proofErr w:type="spellEnd"/>
      <w:r>
        <w:rPr>
          <w:rFonts w:ascii="Times New Roman" w:hAnsi="Times New Roman"/>
          <w:sz w:val="28"/>
          <w:szCs w:val="28"/>
        </w:rPr>
        <w:t>, con la sentenza del 3.5.2016, ha ritenuto la legittimità della delega dal Tribunale alla Camera di commercio del potere di bandire la gara in quanto sono state rispettate le norme del codice dei contratti.</w:t>
      </w:r>
    </w:p>
    <w:p w:rsidR="003D7509" w:rsidRDefault="00215781" w:rsidP="00C424C1">
      <w:pPr>
        <w:spacing w:after="0" w:line="360" w:lineRule="auto"/>
        <w:jc w:val="both"/>
        <w:rPr>
          <w:rFonts w:ascii="Times New Roman" w:hAnsi="Times New Roman"/>
          <w:sz w:val="28"/>
          <w:szCs w:val="28"/>
        </w:rPr>
      </w:pPr>
      <w:r>
        <w:rPr>
          <w:rFonts w:ascii="Times New Roman" w:hAnsi="Times New Roman"/>
          <w:sz w:val="28"/>
          <w:szCs w:val="28"/>
        </w:rPr>
        <w:t xml:space="preserve">- </w:t>
      </w:r>
      <w:r w:rsidRPr="00215781">
        <w:rPr>
          <w:rFonts w:ascii="Times New Roman" w:hAnsi="Times New Roman"/>
          <w:b/>
          <w:sz w:val="28"/>
          <w:szCs w:val="28"/>
        </w:rPr>
        <w:t>le conseguenze della mancata osservanza dell’evidenza pubblica</w:t>
      </w:r>
      <w:r>
        <w:rPr>
          <w:rFonts w:ascii="Times New Roman" w:hAnsi="Times New Roman"/>
          <w:sz w:val="28"/>
          <w:szCs w:val="28"/>
        </w:rPr>
        <w:t xml:space="preserve"> sono l’annullamento degli atti impugnati e l’ordine alla Pubblica Amministrazione di dare esecuzione alla sentenza. Non è escluso </w:t>
      </w:r>
      <w:r w:rsidR="00121CB2">
        <w:rPr>
          <w:rFonts w:ascii="Times New Roman" w:hAnsi="Times New Roman"/>
          <w:sz w:val="28"/>
          <w:szCs w:val="28"/>
        </w:rPr>
        <w:t xml:space="preserve">che l’impresa pretermessa possa invocare </w:t>
      </w:r>
      <w:r>
        <w:rPr>
          <w:rFonts w:ascii="Times New Roman" w:hAnsi="Times New Roman"/>
          <w:sz w:val="28"/>
          <w:szCs w:val="28"/>
        </w:rPr>
        <w:t xml:space="preserve">il risarcimento del danno commerciale </w:t>
      </w:r>
      <w:r w:rsidR="00121CB2">
        <w:rPr>
          <w:rFonts w:ascii="Times New Roman" w:hAnsi="Times New Roman"/>
          <w:sz w:val="28"/>
          <w:szCs w:val="28"/>
        </w:rPr>
        <w:t>patito (salva la giurisdizione del GO nel caso in cui sia stata riscontrata l’assenza di</w:t>
      </w:r>
      <w:r w:rsidR="00200263">
        <w:rPr>
          <w:rFonts w:ascii="Times New Roman" w:hAnsi="Times New Roman"/>
          <w:sz w:val="28"/>
          <w:szCs w:val="28"/>
        </w:rPr>
        <w:t xml:space="preserve"> giurisdizione amministrativa). Non è escluso che il GA possa applicare sanzioni alternative, conservando l’efficacia degli accordi per una durata limitata di tempo, qualora vi siano esigenze p</w:t>
      </w:r>
      <w:r w:rsidR="002F56D8">
        <w:rPr>
          <w:rFonts w:ascii="Times New Roman" w:hAnsi="Times New Roman"/>
          <w:sz w:val="28"/>
          <w:szCs w:val="28"/>
        </w:rPr>
        <w:t xml:space="preserve">reminenti che lo giustifichino: infatti quando è stata </w:t>
      </w:r>
      <w:r w:rsidR="00121CB2">
        <w:rPr>
          <w:rFonts w:ascii="Times New Roman" w:hAnsi="Times New Roman"/>
          <w:sz w:val="28"/>
          <w:szCs w:val="28"/>
        </w:rPr>
        <w:t>rinvenuta “una esigenza imperativa” ai sensi dell’art. 121 del codice degli appalti pubblici sono state adottate delle misure alternative che hanno consentito la durata limitata della scelta del gestore impugnata</w:t>
      </w:r>
      <w:r w:rsidR="002F56D8">
        <w:rPr>
          <w:rFonts w:ascii="Times New Roman" w:hAnsi="Times New Roman"/>
          <w:sz w:val="28"/>
          <w:szCs w:val="28"/>
        </w:rPr>
        <w:t xml:space="preserve"> (così TAR Lombardia, sede di Brescia, del 10.11.2014)</w:t>
      </w:r>
      <w:r w:rsidR="00121CB2">
        <w:rPr>
          <w:rFonts w:ascii="Times New Roman" w:hAnsi="Times New Roman"/>
          <w:sz w:val="28"/>
          <w:szCs w:val="28"/>
        </w:rPr>
        <w:t xml:space="preserve">. </w:t>
      </w:r>
      <w:r>
        <w:rPr>
          <w:rFonts w:ascii="Times New Roman" w:hAnsi="Times New Roman"/>
          <w:sz w:val="28"/>
          <w:szCs w:val="28"/>
        </w:rPr>
        <w:t xml:space="preserve"> </w:t>
      </w:r>
      <w:r w:rsidR="00156B7E">
        <w:rPr>
          <w:rFonts w:ascii="Times New Roman" w:hAnsi="Times New Roman"/>
          <w:sz w:val="28"/>
          <w:szCs w:val="28"/>
        </w:rPr>
        <w:t xml:space="preserve"> </w:t>
      </w:r>
    </w:p>
    <w:p w:rsidR="00C424C1" w:rsidRPr="000C2A75" w:rsidRDefault="000C2A75" w:rsidP="000C2A75">
      <w:pPr>
        <w:spacing w:after="0" w:line="360" w:lineRule="auto"/>
        <w:jc w:val="center"/>
        <w:rPr>
          <w:rFonts w:ascii="Times New Roman" w:hAnsi="Times New Roman"/>
          <w:b/>
          <w:sz w:val="28"/>
          <w:szCs w:val="28"/>
        </w:rPr>
      </w:pPr>
      <w:r w:rsidRPr="000C2A75">
        <w:rPr>
          <w:rFonts w:ascii="Times New Roman" w:hAnsi="Times New Roman"/>
          <w:b/>
          <w:sz w:val="28"/>
          <w:szCs w:val="28"/>
        </w:rPr>
        <w:t>LE CRITICITA’ DELLA POSIZIONE DEL GA</w:t>
      </w:r>
    </w:p>
    <w:p w:rsidR="00C424C1" w:rsidRDefault="00433A11" w:rsidP="00C424C1">
      <w:pPr>
        <w:spacing w:after="0" w:line="360" w:lineRule="auto"/>
        <w:jc w:val="both"/>
        <w:rPr>
          <w:rFonts w:ascii="Times New Roman" w:hAnsi="Times New Roman"/>
          <w:sz w:val="28"/>
          <w:szCs w:val="28"/>
        </w:rPr>
      </w:pPr>
      <w:r>
        <w:rPr>
          <w:rFonts w:ascii="Times New Roman" w:hAnsi="Times New Roman"/>
          <w:sz w:val="28"/>
          <w:szCs w:val="28"/>
        </w:rPr>
        <w:t>L’assetto disegnato dalle pronunce del GA dà luogo ad una serie di perplessità ed obiezioni.</w:t>
      </w:r>
    </w:p>
    <w:p w:rsidR="006538F4" w:rsidRDefault="006538F4" w:rsidP="006538F4">
      <w:pPr>
        <w:spacing w:after="0" w:line="360" w:lineRule="auto"/>
        <w:jc w:val="both"/>
        <w:rPr>
          <w:rFonts w:ascii="Times New Roman" w:hAnsi="Times New Roman"/>
          <w:sz w:val="28"/>
          <w:szCs w:val="28"/>
        </w:rPr>
      </w:pPr>
      <w:r>
        <w:rPr>
          <w:rFonts w:ascii="Times New Roman" w:hAnsi="Times New Roman"/>
          <w:sz w:val="28"/>
          <w:szCs w:val="28"/>
        </w:rPr>
        <w:t>1) Innanzitutto è evidente che, con riguardo ad alcuni servizi strumentali alle esecuzioni, come la gestione della pubblicità delle aste o dei sistemi di vendita telematica, solo la previsione di un rapporto stabile con un gestore tendenzialmente unico per un periodo significativo di tempo può assicurare l’</w:t>
      </w:r>
      <w:r w:rsidR="00AC63AB">
        <w:rPr>
          <w:rFonts w:ascii="Times New Roman" w:hAnsi="Times New Roman"/>
          <w:sz w:val="28"/>
          <w:szCs w:val="28"/>
        </w:rPr>
        <w:t xml:space="preserve">indispensabile </w:t>
      </w:r>
      <w:r>
        <w:rPr>
          <w:rFonts w:ascii="Times New Roman" w:hAnsi="Times New Roman"/>
          <w:sz w:val="28"/>
          <w:szCs w:val="28"/>
        </w:rPr>
        <w:t>omogeneità e</w:t>
      </w:r>
      <w:r w:rsidR="00AC63AB">
        <w:rPr>
          <w:rFonts w:ascii="Times New Roman" w:hAnsi="Times New Roman"/>
          <w:sz w:val="28"/>
          <w:szCs w:val="28"/>
        </w:rPr>
        <w:t>d</w:t>
      </w:r>
      <w:r>
        <w:rPr>
          <w:rFonts w:ascii="Times New Roman" w:hAnsi="Times New Roman"/>
          <w:sz w:val="28"/>
          <w:szCs w:val="28"/>
        </w:rPr>
        <w:t xml:space="preserve"> economicità del servizio, oltre che il monitoraggio sulla sua efficienza. Escludere che tale risultato possa avvenire attraverso il coordinamento dei singoli Giudici significa limitare gravemente i poteri organizzativi del Magistrato, </w:t>
      </w:r>
      <w:r>
        <w:rPr>
          <w:rFonts w:ascii="Times New Roman" w:hAnsi="Times New Roman"/>
          <w:sz w:val="28"/>
          <w:szCs w:val="28"/>
        </w:rPr>
        <w:lastRenderedPageBreak/>
        <w:t>funzionali ed intimamente connessi con l’esercizio della giurisdizione</w:t>
      </w:r>
      <w:r w:rsidR="00EE6E69">
        <w:rPr>
          <w:rFonts w:ascii="Times New Roman" w:hAnsi="Times New Roman"/>
          <w:sz w:val="28"/>
          <w:szCs w:val="28"/>
        </w:rPr>
        <w:t>, che così ne viene menomato</w:t>
      </w:r>
      <w:r w:rsidR="00C728F9">
        <w:rPr>
          <w:rFonts w:ascii="Times New Roman" w:hAnsi="Times New Roman"/>
          <w:sz w:val="28"/>
          <w:szCs w:val="28"/>
        </w:rPr>
        <w:t xml:space="preserve"> in violazione della Carta Costituzionale</w:t>
      </w:r>
      <w:r w:rsidR="002F56D8">
        <w:rPr>
          <w:rFonts w:ascii="Times New Roman" w:hAnsi="Times New Roman"/>
          <w:sz w:val="28"/>
          <w:szCs w:val="28"/>
        </w:rPr>
        <w:t xml:space="preserve"> e della CEDU</w:t>
      </w:r>
      <w:r w:rsidR="00FC1496">
        <w:rPr>
          <w:rFonts w:ascii="Times New Roman" w:hAnsi="Times New Roman"/>
          <w:sz w:val="28"/>
          <w:szCs w:val="28"/>
        </w:rPr>
        <w:t xml:space="preserve">. </w:t>
      </w:r>
      <w:r>
        <w:rPr>
          <w:rFonts w:ascii="Times New Roman" w:hAnsi="Times New Roman"/>
          <w:sz w:val="28"/>
          <w:szCs w:val="28"/>
        </w:rPr>
        <w:t xml:space="preserve"> </w:t>
      </w:r>
    </w:p>
    <w:p w:rsidR="00EE6E69" w:rsidRDefault="00EE6E69" w:rsidP="006538F4">
      <w:pPr>
        <w:spacing w:after="0" w:line="360" w:lineRule="auto"/>
        <w:jc w:val="both"/>
        <w:rPr>
          <w:rFonts w:ascii="Times New Roman" w:hAnsi="Times New Roman"/>
          <w:sz w:val="28"/>
          <w:szCs w:val="28"/>
        </w:rPr>
      </w:pPr>
      <w:r>
        <w:rPr>
          <w:rFonts w:ascii="Times New Roman" w:hAnsi="Times New Roman"/>
          <w:sz w:val="28"/>
          <w:szCs w:val="28"/>
        </w:rPr>
        <w:t xml:space="preserve">2) I Giudici Amministrativi non individuano l’organo del Tribunale competente per lo svolgimento delle gare di evidenza pubblica in quanto non vi è alcuna </w:t>
      </w:r>
      <w:r w:rsidR="00AC63AB">
        <w:rPr>
          <w:rFonts w:ascii="Times New Roman" w:hAnsi="Times New Roman"/>
          <w:sz w:val="28"/>
          <w:szCs w:val="28"/>
        </w:rPr>
        <w:t>base giuridica di riferimento</w:t>
      </w:r>
      <w:r w:rsidR="002F56D8">
        <w:rPr>
          <w:rFonts w:ascii="Times New Roman" w:hAnsi="Times New Roman"/>
          <w:sz w:val="28"/>
          <w:szCs w:val="28"/>
        </w:rPr>
        <w:t xml:space="preserve"> (sul punto non pare chiarificatrice né utile la circolare del ministero del 17.10.2017, che non individua basi di diritto positivo e pare più che altro preoccupata a “salvare” eventuali convenzioni che assicurino prestazioni a titolo gratuito ai Tribunali a condizione del presupposto - di per sé ambiguo e sfuggente-  della natura meramente esecutiva delle stesse)</w:t>
      </w:r>
      <w:r>
        <w:rPr>
          <w:rFonts w:ascii="Times New Roman" w:hAnsi="Times New Roman"/>
          <w:sz w:val="28"/>
          <w:szCs w:val="28"/>
        </w:rPr>
        <w:t xml:space="preserve">. Le sentenze fino ad ora pronunciate, così, si limitano ad affermare la necessità di applicare il codice dei contratti in relazione ad atti di </w:t>
      </w:r>
      <w:r w:rsidR="004306AD">
        <w:rPr>
          <w:rFonts w:ascii="Times New Roman" w:hAnsi="Times New Roman"/>
          <w:sz w:val="28"/>
          <w:szCs w:val="28"/>
        </w:rPr>
        <w:t>“</w:t>
      </w:r>
      <w:r>
        <w:rPr>
          <w:rFonts w:ascii="Times New Roman" w:hAnsi="Times New Roman"/>
          <w:sz w:val="28"/>
          <w:szCs w:val="28"/>
        </w:rPr>
        <w:t>Assemblee di Giudici</w:t>
      </w:r>
      <w:r w:rsidR="004306AD">
        <w:rPr>
          <w:rFonts w:ascii="Times New Roman" w:hAnsi="Times New Roman"/>
          <w:sz w:val="28"/>
          <w:szCs w:val="28"/>
        </w:rPr>
        <w:t>”</w:t>
      </w:r>
      <w:r>
        <w:rPr>
          <w:rFonts w:ascii="Times New Roman" w:hAnsi="Times New Roman"/>
          <w:sz w:val="28"/>
          <w:szCs w:val="28"/>
        </w:rPr>
        <w:t xml:space="preserve">, di </w:t>
      </w:r>
      <w:r w:rsidR="004306AD">
        <w:rPr>
          <w:rFonts w:ascii="Times New Roman" w:hAnsi="Times New Roman"/>
          <w:sz w:val="28"/>
          <w:szCs w:val="28"/>
        </w:rPr>
        <w:t>“</w:t>
      </w:r>
      <w:r>
        <w:rPr>
          <w:rFonts w:ascii="Times New Roman" w:hAnsi="Times New Roman"/>
          <w:sz w:val="28"/>
          <w:szCs w:val="28"/>
        </w:rPr>
        <w:t>commissioni tecniche presiedute dal Presidente di sezione</w:t>
      </w:r>
      <w:r w:rsidR="004306AD">
        <w:rPr>
          <w:rFonts w:ascii="Times New Roman" w:hAnsi="Times New Roman"/>
          <w:sz w:val="28"/>
          <w:szCs w:val="28"/>
        </w:rPr>
        <w:t>”</w:t>
      </w:r>
      <w:r>
        <w:rPr>
          <w:rFonts w:ascii="Times New Roman" w:hAnsi="Times New Roman"/>
          <w:sz w:val="28"/>
          <w:szCs w:val="28"/>
        </w:rPr>
        <w:t xml:space="preserve">, del Presidente del Tribunale e della Camera di Commercio delegata, alimentando solo la confusione sull’effettiva titolarità di </w:t>
      </w:r>
      <w:r w:rsidR="00AC63AB">
        <w:rPr>
          <w:rFonts w:ascii="Times New Roman" w:hAnsi="Times New Roman"/>
          <w:sz w:val="28"/>
          <w:szCs w:val="28"/>
        </w:rPr>
        <w:t>un</w:t>
      </w:r>
      <w:r>
        <w:rPr>
          <w:rFonts w:ascii="Times New Roman" w:hAnsi="Times New Roman"/>
          <w:sz w:val="28"/>
          <w:szCs w:val="28"/>
        </w:rPr>
        <w:t xml:space="preserve"> potere </w:t>
      </w:r>
      <w:r w:rsidR="00AC63AB">
        <w:rPr>
          <w:rFonts w:ascii="Times New Roman" w:hAnsi="Times New Roman"/>
          <w:sz w:val="28"/>
          <w:szCs w:val="28"/>
        </w:rPr>
        <w:t>amministrativo in realtà non previsto né desumibile da alcuna norma</w:t>
      </w:r>
      <w:r w:rsidR="00A95BD6">
        <w:rPr>
          <w:rFonts w:ascii="Times New Roman" w:hAnsi="Times New Roman"/>
          <w:sz w:val="28"/>
          <w:szCs w:val="28"/>
        </w:rPr>
        <w:t xml:space="preserve"> perché non esiste</w:t>
      </w:r>
      <w:r>
        <w:rPr>
          <w:rFonts w:ascii="Times New Roman" w:hAnsi="Times New Roman"/>
          <w:sz w:val="28"/>
          <w:szCs w:val="28"/>
        </w:rPr>
        <w:t>.</w:t>
      </w:r>
      <w:r w:rsidR="00A95BD6">
        <w:rPr>
          <w:rFonts w:ascii="Times New Roman" w:hAnsi="Times New Roman"/>
          <w:sz w:val="28"/>
          <w:szCs w:val="28"/>
        </w:rPr>
        <w:t xml:space="preserve"> Esiste invece</w:t>
      </w:r>
      <w:r w:rsidR="004306AD">
        <w:rPr>
          <w:rFonts w:ascii="Times New Roman" w:hAnsi="Times New Roman"/>
          <w:sz w:val="28"/>
          <w:szCs w:val="28"/>
        </w:rPr>
        <w:t xml:space="preserve"> (senza che sia stato fino ad ora messo in dubbio ed anzi valorizzato ai fini delle </w:t>
      </w:r>
      <w:r w:rsidR="004306AD" w:rsidRPr="00447068">
        <w:rPr>
          <w:rFonts w:ascii="Times New Roman" w:hAnsi="Times New Roman"/>
          <w:i/>
          <w:sz w:val="28"/>
          <w:szCs w:val="28"/>
        </w:rPr>
        <w:t xml:space="preserve">best </w:t>
      </w:r>
      <w:proofErr w:type="spellStart"/>
      <w:r w:rsidR="004306AD" w:rsidRPr="00447068">
        <w:rPr>
          <w:rFonts w:ascii="Times New Roman" w:hAnsi="Times New Roman"/>
          <w:i/>
          <w:sz w:val="28"/>
          <w:szCs w:val="28"/>
        </w:rPr>
        <w:t>practice</w:t>
      </w:r>
      <w:proofErr w:type="spellEnd"/>
      <w:r w:rsidR="004306AD">
        <w:rPr>
          <w:rFonts w:ascii="Times New Roman" w:hAnsi="Times New Roman"/>
          <w:sz w:val="28"/>
          <w:szCs w:val="28"/>
        </w:rPr>
        <w:t>)</w:t>
      </w:r>
      <w:r w:rsidR="00A95BD6">
        <w:rPr>
          <w:rFonts w:ascii="Times New Roman" w:hAnsi="Times New Roman"/>
          <w:sz w:val="28"/>
          <w:szCs w:val="28"/>
        </w:rPr>
        <w:t xml:space="preserve"> il potere giurisdizionale di ogni Giudice di organizzare </w:t>
      </w:r>
      <w:r w:rsidR="00437B08">
        <w:rPr>
          <w:rFonts w:ascii="Times New Roman" w:hAnsi="Times New Roman"/>
          <w:sz w:val="28"/>
          <w:szCs w:val="28"/>
        </w:rPr>
        <w:t xml:space="preserve">(eventualmente coordinandosi con gli altri) </w:t>
      </w:r>
      <w:r w:rsidR="00A95BD6">
        <w:rPr>
          <w:rFonts w:ascii="Times New Roman" w:hAnsi="Times New Roman"/>
          <w:sz w:val="28"/>
          <w:szCs w:val="28"/>
        </w:rPr>
        <w:t xml:space="preserve">il  proprio ruolo ed i propri procedimenti. </w:t>
      </w:r>
    </w:p>
    <w:p w:rsidR="00AC63AB" w:rsidRDefault="00EE6E69" w:rsidP="006538F4">
      <w:pPr>
        <w:spacing w:after="0" w:line="360" w:lineRule="auto"/>
        <w:jc w:val="both"/>
        <w:rPr>
          <w:rFonts w:ascii="Times New Roman" w:hAnsi="Times New Roman"/>
          <w:sz w:val="28"/>
          <w:szCs w:val="28"/>
        </w:rPr>
      </w:pPr>
      <w:r>
        <w:rPr>
          <w:rFonts w:ascii="Times New Roman" w:hAnsi="Times New Roman"/>
          <w:sz w:val="28"/>
          <w:szCs w:val="28"/>
        </w:rPr>
        <w:t xml:space="preserve">3) </w:t>
      </w:r>
      <w:r w:rsidR="00A95BD6">
        <w:rPr>
          <w:rFonts w:ascii="Times New Roman" w:hAnsi="Times New Roman"/>
          <w:sz w:val="28"/>
          <w:szCs w:val="28"/>
        </w:rPr>
        <w:t>L</w:t>
      </w:r>
      <w:r>
        <w:rPr>
          <w:rFonts w:ascii="Times New Roman" w:hAnsi="Times New Roman"/>
          <w:sz w:val="28"/>
          <w:szCs w:val="28"/>
        </w:rPr>
        <w:t xml:space="preserve">’eventuale riconoscimento di un tale </w:t>
      </w:r>
      <w:r w:rsidR="00A95BD6">
        <w:rPr>
          <w:rFonts w:ascii="Times New Roman" w:hAnsi="Times New Roman"/>
          <w:sz w:val="28"/>
          <w:szCs w:val="28"/>
        </w:rPr>
        <w:t xml:space="preserve">innominato </w:t>
      </w:r>
      <w:r>
        <w:rPr>
          <w:rFonts w:ascii="Times New Roman" w:hAnsi="Times New Roman"/>
          <w:sz w:val="28"/>
          <w:szCs w:val="28"/>
        </w:rPr>
        <w:t>potere</w:t>
      </w:r>
      <w:r w:rsidR="00A95BD6">
        <w:rPr>
          <w:rFonts w:ascii="Times New Roman" w:hAnsi="Times New Roman"/>
          <w:sz w:val="28"/>
          <w:szCs w:val="28"/>
        </w:rPr>
        <w:t xml:space="preserve"> amministrativo</w:t>
      </w:r>
      <w:r>
        <w:rPr>
          <w:rFonts w:ascii="Times New Roman" w:hAnsi="Times New Roman"/>
          <w:sz w:val="28"/>
          <w:szCs w:val="28"/>
        </w:rPr>
        <w:t xml:space="preserve"> a</w:t>
      </w:r>
      <w:r w:rsidR="00AC63AB">
        <w:rPr>
          <w:rFonts w:ascii="Times New Roman" w:hAnsi="Times New Roman"/>
          <w:sz w:val="28"/>
          <w:szCs w:val="28"/>
        </w:rPr>
        <w:t>l</w:t>
      </w:r>
      <w:r>
        <w:rPr>
          <w:rFonts w:ascii="Times New Roman" w:hAnsi="Times New Roman"/>
          <w:sz w:val="28"/>
          <w:szCs w:val="28"/>
        </w:rPr>
        <w:t xml:space="preserve"> Presidente del Tribunale o di sezione contrasterebbe con la discrezionalità propria di ciascun Giudice nella direzione del procedimento</w:t>
      </w:r>
      <w:r w:rsidR="00A95BD6">
        <w:rPr>
          <w:rFonts w:ascii="Times New Roman" w:hAnsi="Times New Roman"/>
          <w:sz w:val="28"/>
          <w:szCs w:val="28"/>
        </w:rPr>
        <w:t xml:space="preserve"> e sarebbe dunque preordinato alla stipula di un contratto null</w:t>
      </w:r>
      <w:r w:rsidR="00437B08">
        <w:rPr>
          <w:rFonts w:ascii="Times New Roman" w:hAnsi="Times New Roman"/>
          <w:sz w:val="28"/>
          <w:szCs w:val="28"/>
        </w:rPr>
        <w:t>o</w:t>
      </w:r>
      <w:r w:rsidR="00A95BD6">
        <w:rPr>
          <w:rFonts w:ascii="Times New Roman" w:hAnsi="Times New Roman"/>
          <w:sz w:val="28"/>
          <w:szCs w:val="28"/>
        </w:rPr>
        <w:t xml:space="preserve"> per inesistenza </w:t>
      </w:r>
      <w:r w:rsidR="00437B08">
        <w:rPr>
          <w:rFonts w:ascii="Times New Roman" w:hAnsi="Times New Roman"/>
          <w:sz w:val="28"/>
          <w:szCs w:val="28"/>
        </w:rPr>
        <w:t xml:space="preserve">o impossibilità giuridica </w:t>
      </w:r>
      <w:r w:rsidR="00A95BD6">
        <w:rPr>
          <w:rFonts w:ascii="Times New Roman" w:hAnsi="Times New Roman"/>
          <w:sz w:val="28"/>
          <w:szCs w:val="28"/>
        </w:rPr>
        <w:t>dell’oggetto; qualora invece si ritenga che una tale convenzione sia idonea a creare</w:t>
      </w:r>
      <w:r w:rsidR="00AC63AB">
        <w:rPr>
          <w:rFonts w:ascii="Times New Roman" w:hAnsi="Times New Roman"/>
          <w:sz w:val="28"/>
          <w:szCs w:val="28"/>
        </w:rPr>
        <w:t xml:space="preserve"> una sorta di vincolo di fatto</w:t>
      </w:r>
      <w:r w:rsidR="00A95BD6">
        <w:rPr>
          <w:rFonts w:ascii="Times New Roman" w:hAnsi="Times New Roman"/>
          <w:sz w:val="28"/>
          <w:szCs w:val="28"/>
        </w:rPr>
        <w:t xml:space="preserve">, allora non può che evidenziarsi come </w:t>
      </w:r>
      <w:r w:rsidR="00AC63AB">
        <w:rPr>
          <w:rFonts w:ascii="Times New Roman" w:hAnsi="Times New Roman"/>
          <w:sz w:val="28"/>
          <w:szCs w:val="28"/>
        </w:rPr>
        <w:t xml:space="preserve">il singolo magistrato </w:t>
      </w:r>
      <w:r w:rsidR="00A95BD6">
        <w:rPr>
          <w:rFonts w:ascii="Times New Roman" w:hAnsi="Times New Roman"/>
          <w:sz w:val="28"/>
          <w:szCs w:val="28"/>
        </w:rPr>
        <w:t>rima</w:t>
      </w:r>
      <w:r w:rsidR="00437B08">
        <w:rPr>
          <w:rFonts w:ascii="Times New Roman" w:hAnsi="Times New Roman"/>
          <w:sz w:val="28"/>
          <w:szCs w:val="28"/>
        </w:rPr>
        <w:t>rrebbe</w:t>
      </w:r>
      <w:r w:rsidR="00A95BD6">
        <w:rPr>
          <w:rFonts w:ascii="Times New Roman" w:hAnsi="Times New Roman"/>
          <w:sz w:val="28"/>
          <w:szCs w:val="28"/>
        </w:rPr>
        <w:t xml:space="preserve"> estraneo alla redazione del bando, che dunque gli </w:t>
      </w:r>
      <w:r w:rsidR="00437B08">
        <w:rPr>
          <w:rFonts w:ascii="Times New Roman" w:hAnsi="Times New Roman"/>
          <w:sz w:val="28"/>
          <w:szCs w:val="28"/>
        </w:rPr>
        <w:t>sarebbe</w:t>
      </w:r>
      <w:r w:rsidR="00A95BD6">
        <w:rPr>
          <w:rFonts w:ascii="Times New Roman" w:hAnsi="Times New Roman"/>
          <w:sz w:val="28"/>
          <w:szCs w:val="28"/>
        </w:rPr>
        <w:t xml:space="preserve"> imposto, con conseguente violazione della sua discrezionalità</w:t>
      </w:r>
      <w:r w:rsidR="00AC63AB">
        <w:rPr>
          <w:rFonts w:ascii="Times New Roman" w:hAnsi="Times New Roman"/>
          <w:sz w:val="28"/>
          <w:szCs w:val="28"/>
        </w:rPr>
        <w:t>.</w:t>
      </w:r>
    </w:p>
    <w:p w:rsidR="00EE6E69" w:rsidRDefault="002D14A4" w:rsidP="006538F4">
      <w:pPr>
        <w:spacing w:after="0" w:line="360" w:lineRule="auto"/>
        <w:jc w:val="both"/>
        <w:rPr>
          <w:rFonts w:ascii="Times New Roman" w:hAnsi="Times New Roman"/>
          <w:sz w:val="28"/>
          <w:szCs w:val="28"/>
        </w:rPr>
      </w:pPr>
      <w:r>
        <w:rPr>
          <w:rFonts w:ascii="Times New Roman" w:hAnsi="Times New Roman"/>
          <w:sz w:val="28"/>
          <w:szCs w:val="28"/>
        </w:rPr>
        <w:t>4</w:t>
      </w:r>
      <w:r w:rsidR="00AC63AB">
        <w:rPr>
          <w:rFonts w:ascii="Times New Roman" w:hAnsi="Times New Roman"/>
          <w:sz w:val="28"/>
          <w:szCs w:val="28"/>
        </w:rPr>
        <w:t xml:space="preserve">) l’eventuale riconoscimento di tale </w:t>
      </w:r>
      <w:r w:rsidR="00A95BD6">
        <w:rPr>
          <w:rFonts w:ascii="Times New Roman" w:hAnsi="Times New Roman"/>
          <w:sz w:val="28"/>
          <w:szCs w:val="28"/>
        </w:rPr>
        <w:t xml:space="preserve">innominato </w:t>
      </w:r>
      <w:r w:rsidR="00AC63AB">
        <w:rPr>
          <w:rFonts w:ascii="Times New Roman" w:hAnsi="Times New Roman"/>
          <w:sz w:val="28"/>
          <w:szCs w:val="28"/>
        </w:rPr>
        <w:t xml:space="preserve">potere </w:t>
      </w:r>
      <w:r w:rsidR="00421351">
        <w:rPr>
          <w:rFonts w:ascii="Times New Roman" w:hAnsi="Times New Roman"/>
          <w:sz w:val="28"/>
          <w:szCs w:val="28"/>
        </w:rPr>
        <w:t xml:space="preserve">amministrativo </w:t>
      </w:r>
      <w:r w:rsidR="00AC63AB">
        <w:rPr>
          <w:rFonts w:ascii="Times New Roman" w:hAnsi="Times New Roman"/>
          <w:sz w:val="28"/>
          <w:szCs w:val="28"/>
        </w:rPr>
        <w:t>all’assemblea dei Giudici (</w:t>
      </w:r>
      <w:proofErr w:type="spellStart"/>
      <w:r w:rsidR="00AC63AB" w:rsidRPr="00AC63AB">
        <w:rPr>
          <w:rFonts w:ascii="Times New Roman" w:hAnsi="Times New Roman"/>
          <w:i/>
          <w:sz w:val="28"/>
          <w:szCs w:val="28"/>
        </w:rPr>
        <w:t>rectius</w:t>
      </w:r>
      <w:proofErr w:type="spellEnd"/>
      <w:r w:rsidR="00AC63AB">
        <w:rPr>
          <w:rFonts w:ascii="Times New Roman" w:hAnsi="Times New Roman"/>
          <w:sz w:val="28"/>
          <w:szCs w:val="28"/>
        </w:rPr>
        <w:t xml:space="preserve"> riunioni ex art. 47 </w:t>
      </w:r>
      <w:r w:rsidR="004306AD">
        <w:rPr>
          <w:rFonts w:ascii="Times New Roman" w:hAnsi="Times New Roman"/>
          <w:sz w:val="28"/>
          <w:szCs w:val="28"/>
        </w:rPr>
        <w:t>qua</w:t>
      </w:r>
      <w:r w:rsidR="00AC63AB">
        <w:rPr>
          <w:rFonts w:ascii="Times New Roman" w:hAnsi="Times New Roman"/>
          <w:sz w:val="28"/>
          <w:szCs w:val="28"/>
        </w:rPr>
        <w:t>ter O.G.)</w:t>
      </w:r>
      <w:r w:rsidR="00EE6E69">
        <w:rPr>
          <w:rFonts w:ascii="Times New Roman" w:hAnsi="Times New Roman"/>
          <w:sz w:val="28"/>
          <w:szCs w:val="28"/>
        </w:rPr>
        <w:t xml:space="preserve"> </w:t>
      </w:r>
      <w:r w:rsidR="00AC63AB">
        <w:rPr>
          <w:rFonts w:ascii="Times New Roman" w:hAnsi="Times New Roman"/>
          <w:sz w:val="28"/>
          <w:szCs w:val="28"/>
        </w:rPr>
        <w:t xml:space="preserve">si scontra con l’assoluta inadeguatezza di una tale “figura organizzativa” allo svolgimento di gare ad evidenza </w:t>
      </w:r>
      <w:r w:rsidR="00AC63AB">
        <w:rPr>
          <w:rFonts w:ascii="Times New Roman" w:hAnsi="Times New Roman"/>
          <w:sz w:val="28"/>
          <w:szCs w:val="28"/>
        </w:rPr>
        <w:lastRenderedPageBreak/>
        <w:t>pubblica e con l’esigenza di operare scelte di indirizzo snelle</w:t>
      </w:r>
      <w:r w:rsidR="004306AD">
        <w:rPr>
          <w:rFonts w:ascii="Times New Roman" w:hAnsi="Times New Roman"/>
          <w:sz w:val="28"/>
          <w:szCs w:val="28"/>
        </w:rPr>
        <w:t>, stabili ma</w:t>
      </w:r>
      <w:r w:rsidR="00AC63AB">
        <w:rPr>
          <w:rFonts w:ascii="Times New Roman" w:hAnsi="Times New Roman"/>
          <w:sz w:val="28"/>
          <w:szCs w:val="28"/>
        </w:rPr>
        <w:t xml:space="preserve"> comunque non vincolanti</w:t>
      </w:r>
      <w:r w:rsidR="00437B08">
        <w:rPr>
          <w:rFonts w:ascii="Times New Roman" w:hAnsi="Times New Roman"/>
          <w:sz w:val="28"/>
          <w:szCs w:val="28"/>
        </w:rPr>
        <w:t xml:space="preserve">, che consentano eventualmente mutamenti di indirizzo, revoche </w:t>
      </w:r>
      <w:proofErr w:type="spellStart"/>
      <w:r w:rsidR="00437B08">
        <w:rPr>
          <w:rFonts w:ascii="Times New Roman" w:hAnsi="Times New Roman"/>
          <w:sz w:val="28"/>
          <w:szCs w:val="28"/>
        </w:rPr>
        <w:t>deformalizzate</w:t>
      </w:r>
      <w:proofErr w:type="spellEnd"/>
      <w:r w:rsidR="00437B08">
        <w:rPr>
          <w:rFonts w:ascii="Times New Roman" w:hAnsi="Times New Roman"/>
          <w:sz w:val="28"/>
          <w:szCs w:val="28"/>
        </w:rPr>
        <w:t xml:space="preserve"> o modifiche del sistema di pubblicità in tempi brevi</w:t>
      </w:r>
      <w:r w:rsidR="00AC63AB">
        <w:rPr>
          <w:rFonts w:ascii="Times New Roman" w:hAnsi="Times New Roman"/>
          <w:sz w:val="28"/>
          <w:szCs w:val="28"/>
        </w:rPr>
        <w:t>.</w:t>
      </w:r>
    </w:p>
    <w:p w:rsidR="002D14A4" w:rsidRDefault="002D14A4" w:rsidP="002D14A4">
      <w:pPr>
        <w:spacing w:after="0" w:line="360" w:lineRule="auto"/>
        <w:jc w:val="both"/>
        <w:rPr>
          <w:rFonts w:ascii="Times New Roman" w:hAnsi="Times New Roman"/>
          <w:sz w:val="28"/>
          <w:szCs w:val="28"/>
        </w:rPr>
      </w:pPr>
      <w:r>
        <w:rPr>
          <w:rFonts w:ascii="Times New Roman" w:hAnsi="Times New Roman"/>
          <w:sz w:val="28"/>
          <w:szCs w:val="28"/>
        </w:rPr>
        <w:t>5) L’eventuale previsione nel bando di prestazioni aggiuntive a titolo gratuito a carico del gestore a favore del Tribunale, remunerate dagli introiti della pubblicità, sarebbe illegittima ed inopportuna in quanto addossa il peso economico delle strutture organizzative di interesse generale solo ad alcune parti, contribuendo all’innalzamento dei cost</w:t>
      </w:r>
      <w:r w:rsidR="004306AD">
        <w:rPr>
          <w:rFonts w:ascii="Times New Roman" w:hAnsi="Times New Roman"/>
          <w:sz w:val="28"/>
          <w:szCs w:val="28"/>
        </w:rPr>
        <w:t xml:space="preserve">i di realizzazione dei crediti (tra l’altro </w:t>
      </w:r>
      <w:r>
        <w:rPr>
          <w:rFonts w:ascii="Times New Roman" w:hAnsi="Times New Roman"/>
          <w:sz w:val="28"/>
          <w:szCs w:val="28"/>
        </w:rPr>
        <w:t>oggetto di rilevazione per determinare la competitività del sistema economico del Paese</w:t>
      </w:r>
      <w:r w:rsidR="004306AD">
        <w:rPr>
          <w:rFonts w:ascii="Times New Roman" w:hAnsi="Times New Roman"/>
          <w:sz w:val="28"/>
          <w:szCs w:val="28"/>
        </w:rPr>
        <w:t xml:space="preserve"> e dunque </w:t>
      </w:r>
      <w:r w:rsidR="00447068">
        <w:rPr>
          <w:rFonts w:ascii="Times New Roman" w:hAnsi="Times New Roman"/>
          <w:sz w:val="28"/>
          <w:szCs w:val="28"/>
        </w:rPr>
        <w:t xml:space="preserve">con </w:t>
      </w:r>
      <w:r w:rsidR="004306AD">
        <w:rPr>
          <w:rFonts w:ascii="Times New Roman" w:hAnsi="Times New Roman"/>
          <w:sz w:val="28"/>
          <w:szCs w:val="28"/>
        </w:rPr>
        <w:t>l’effetto paradossale di provocare una valutazione negativa sull’efficienza della giustizia italiana)</w:t>
      </w:r>
      <w:r>
        <w:rPr>
          <w:rFonts w:ascii="Times New Roman" w:hAnsi="Times New Roman"/>
          <w:sz w:val="28"/>
          <w:szCs w:val="28"/>
        </w:rPr>
        <w:t xml:space="preserve">. </w:t>
      </w:r>
    </w:p>
    <w:p w:rsidR="00FC1496" w:rsidRDefault="00FC1496" w:rsidP="002D14A4">
      <w:pPr>
        <w:spacing w:after="0" w:line="360" w:lineRule="auto"/>
        <w:jc w:val="both"/>
        <w:rPr>
          <w:rFonts w:ascii="Times New Roman" w:hAnsi="Times New Roman"/>
          <w:sz w:val="28"/>
          <w:szCs w:val="28"/>
        </w:rPr>
      </w:pPr>
      <w:r>
        <w:rPr>
          <w:rFonts w:ascii="Times New Roman" w:hAnsi="Times New Roman"/>
          <w:sz w:val="28"/>
          <w:szCs w:val="28"/>
        </w:rPr>
        <w:t>6) I Giudici Amministrativi non spiegano quali strumenti (amministrativi?) di azione e selezione avrebbero i singoli Giudici in assenza dell’attivazione di tali fantomatici “organi straordinari” della PA</w:t>
      </w:r>
      <w:r w:rsidR="00447068">
        <w:rPr>
          <w:rFonts w:ascii="Times New Roman" w:hAnsi="Times New Roman"/>
          <w:sz w:val="28"/>
          <w:szCs w:val="28"/>
        </w:rPr>
        <w:t xml:space="preserve">, né illuminano sull’esistenza dell’obbligo su tali </w:t>
      </w:r>
      <w:r w:rsidR="00C73AB2">
        <w:rPr>
          <w:rFonts w:ascii="Times New Roman" w:hAnsi="Times New Roman"/>
          <w:sz w:val="28"/>
          <w:szCs w:val="28"/>
        </w:rPr>
        <w:t xml:space="preserve">Organi </w:t>
      </w:r>
      <w:r w:rsidR="00447068">
        <w:rPr>
          <w:rFonts w:ascii="Times New Roman" w:hAnsi="Times New Roman"/>
          <w:sz w:val="28"/>
          <w:szCs w:val="28"/>
        </w:rPr>
        <w:t>innominati di attivarsi.</w:t>
      </w:r>
    </w:p>
    <w:p w:rsidR="002D14A4" w:rsidRDefault="00C73AB2" w:rsidP="002D14A4">
      <w:pPr>
        <w:spacing w:after="0" w:line="360" w:lineRule="auto"/>
        <w:jc w:val="both"/>
        <w:rPr>
          <w:rFonts w:ascii="Times New Roman" w:hAnsi="Times New Roman"/>
          <w:sz w:val="28"/>
          <w:szCs w:val="28"/>
        </w:rPr>
      </w:pPr>
      <w:r>
        <w:rPr>
          <w:rFonts w:ascii="Times New Roman" w:hAnsi="Times New Roman"/>
          <w:sz w:val="28"/>
          <w:szCs w:val="28"/>
        </w:rPr>
        <w:t>7</w:t>
      </w:r>
      <w:r w:rsidR="002D14A4">
        <w:rPr>
          <w:rFonts w:ascii="Times New Roman" w:hAnsi="Times New Roman"/>
          <w:sz w:val="28"/>
          <w:szCs w:val="28"/>
        </w:rPr>
        <w:t xml:space="preserve">) </w:t>
      </w:r>
      <w:r w:rsidR="00437B08">
        <w:rPr>
          <w:rFonts w:ascii="Times New Roman" w:hAnsi="Times New Roman"/>
          <w:sz w:val="28"/>
          <w:szCs w:val="28"/>
        </w:rPr>
        <w:t xml:space="preserve">in conclusione </w:t>
      </w:r>
      <w:r w:rsidR="00421351">
        <w:rPr>
          <w:rFonts w:ascii="Times New Roman" w:hAnsi="Times New Roman"/>
          <w:sz w:val="28"/>
          <w:szCs w:val="28"/>
        </w:rPr>
        <w:t>l’applicazione del codice degli appalti non tiene in debito conto della peculiarità degli organi giurisdizionali</w:t>
      </w:r>
      <w:r w:rsidR="00A95BD6">
        <w:rPr>
          <w:rFonts w:ascii="Times New Roman" w:hAnsi="Times New Roman"/>
          <w:sz w:val="28"/>
          <w:szCs w:val="28"/>
        </w:rPr>
        <w:t xml:space="preserve"> rispetto a quelli dell’Amministrazione ordinaria</w:t>
      </w:r>
      <w:r w:rsidR="0028043F">
        <w:rPr>
          <w:rFonts w:ascii="Times New Roman" w:hAnsi="Times New Roman"/>
          <w:sz w:val="28"/>
          <w:szCs w:val="28"/>
        </w:rPr>
        <w:t xml:space="preserve"> (guarentigie di indipendenza ed impugnabilità delle singole decisioni ad opera delle sole parti) né</w:t>
      </w:r>
      <w:r w:rsidR="00421351">
        <w:rPr>
          <w:rFonts w:ascii="Times New Roman" w:hAnsi="Times New Roman"/>
          <w:sz w:val="28"/>
          <w:szCs w:val="28"/>
        </w:rPr>
        <w:t xml:space="preserve"> della necessità di garantire l’effettività della giurisdizione ex art. 24 </w:t>
      </w:r>
      <w:proofErr w:type="spellStart"/>
      <w:r w:rsidR="00421351">
        <w:rPr>
          <w:rFonts w:ascii="Times New Roman" w:hAnsi="Times New Roman"/>
          <w:sz w:val="28"/>
          <w:szCs w:val="28"/>
        </w:rPr>
        <w:t>Cost</w:t>
      </w:r>
      <w:proofErr w:type="spellEnd"/>
      <w:r w:rsidR="00421351">
        <w:rPr>
          <w:rFonts w:ascii="Times New Roman" w:hAnsi="Times New Roman"/>
          <w:sz w:val="28"/>
          <w:szCs w:val="28"/>
        </w:rPr>
        <w:t xml:space="preserve">. e la ragionevole durata del processo ex art. 111 </w:t>
      </w:r>
      <w:proofErr w:type="spellStart"/>
      <w:r w:rsidR="00421351">
        <w:rPr>
          <w:rFonts w:ascii="Times New Roman" w:hAnsi="Times New Roman"/>
          <w:sz w:val="28"/>
          <w:szCs w:val="28"/>
        </w:rPr>
        <w:t>Cost</w:t>
      </w:r>
      <w:proofErr w:type="spellEnd"/>
      <w:r w:rsidR="00421351">
        <w:rPr>
          <w:rFonts w:ascii="Times New Roman" w:hAnsi="Times New Roman"/>
          <w:sz w:val="28"/>
          <w:szCs w:val="28"/>
        </w:rPr>
        <w:t xml:space="preserve">. </w:t>
      </w:r>
      <w:r w:rsidR="00A95BD6">
        <w:rPr>
          <w:rFonts w:ascii="Times New Roman" w:hAnsi="Times New Roman"/>
          <w:sz w:val="28"/>
          <w:szCs w:val="28"/>
        </w:rPr>
        <w:t xml:space="preserve">Quanto detto vale sia con riferimento allo svolgimento di una gara ad evidenza pubblica sia con riguardo al principio di rotazione, incompatibile con i servizi di cui si tratta per le ragioni </w:t>
      </w:r>
      <w:r w:rsidR="0028043F">
        <w:rPr>
          <w:rFonts w:ascii="Times New Roman" w:hAnsi="Times New Roman"/>
          <w:sz w:val="28"/>
          <w:szCs w:val="28"/>
        </w:rPr>
        <w:t xml:space="preserve">di uniformità, stabilità e celerità </w:t>
      </w:r>
      <w:r w:rsidR="00A95BD6">
        <w:rPr>
          <w:rFonts w:ascii="Times New Roman" w:hAnsi="Times New Roman"/>
          <w:sz w:val="28"/>
          <w:szCs w:val="28"/>
        </w:rPr>
        <w:t xml:space="preserve">prima esposte. </w:t>
      </w:r>
      <w:r w:rsidR="00B77E5B">
        <w:rPr>
          <w:rFonts w:ascii="Times New Roman" w:hAnsi="Times New Roman"/>
          <w:sz w:val="28"/>
          <w:szCs w:val="28"/>
        </w:rPr>
        <w:t xml:space="preserve">Dunque la soluzione sposata dal GA realizzerebbe il paradosso di sottrarre ai Giudici ordinari il controllo sull’efficienza e sui tempi dei procedimenti giurisdizionali, elevando la tutela della concorrenza a valore assoluto, a prescindere dall’effettivo raggiungimento degli effetti virtuosi che </w:t>
      </w:r>
      <w:r>
        <w:rPr>
          <w:rFonts w:ascii="Times New Roman" w:hAnsi="Times New Roman"/>
          <w:sz w:val="28"/>
          <w:szCs w:val="28"/>
        </w:rPr>
        <w:t>invece solo la gestione “</w:t>
      </w:r>
      <w:proofErr w:type="spellStart"/>
      <w:r>
        <w:rPr>
          <w:rFonts w:ascii="Times New Roman" w:hAnsi="Times New Roman"/>
          <w:sz w:val="28"/>
          <w:szCs w:val="28"/>
        </w:rPr>
        <w:t>giurisdizionalizzata</w:t>
      </w:r>
      <w:proofErr w:type="spellEnd"/>
      <w:r>
        <w:rPr>
          <w:rFonts w:ascii="Times New Roman" w:hAnsi="Times New Roman"/>
          <w:sz w:val="28"/>
          <w:szCs w:val="28"/>
        </w:rPr>
        <w:t xml:space="preserve">” dei servizi </w:t>
      </w:r>
      <w:r w:rsidR="00447068">
        <w:rPr>
          <w:rFonts w:ascii="Times New Roman" w:hAnsi="Times New Roman"/>
          <w:sz w:val="28"/>
          <w:szCs w:val="28"/>
        </w:rPr>
        <w:t xml:space="preserve">ausiliari a livello di singolo Tribunale </w:t>
      </w:r>
      <w:r>
        <w:rPr>
          <w:rFonts w:ascii="Times New Roman" w:hAnsi="Times New Roman"/>
          <w:sz w:val="28"/>
          <w:szCs w:val="28"/>
        </w:rPr>
        <w:t xml:space="preserve">può meglio garantire. </w:t>
      </w:r>
    </w:p>
    <w:p w:rsidR="006538F4" w:rsidRPr="00A95BD6" w:rsidRDefault="00A95BD6" w:rsidP="00A95BD6">
      <w:pPr>
        <w:spacing w:after="0" w:line="360" w:lineRule="auto"/>
        <w:jc w:val="center"/>
        <w:rPr>
          <w:rFonts w:ascii="Times New Roman" w:hAnsi="Times New Roman"/>
          <w:b/>
          <w:sz w:val="28"/>
          <w:szCs w:val="28"/>
        </w:rPr>
      </w:pPr>
      <w:r w:rsidRPr="00A95BD6">
        <w:rPr>
          <w:rFonts w:ascii="Times New Roman" w:hAnsi="Times New Roman"/>
          <w:b/>
          <w:sz w:val="28"/>
          <w:szCs w:val="28"/>
        </w:rPr>
        <w:t xml:space="preserve">POSSIBILI STRATEGIE DI </w:t>
      </w:r>
      <w:r>
        <w:rPr>
          <w:rFonts w:ascii="Times New Roman" w:hAnsi="Times New Roman"/>
          <w:b/>
          <w:sz w:val="28"/>
          <w:szCs w:val="28"/>
        </w:rPr>
        <w:t>(RE)</w:t>
      </w:r>
      <w:r w:rsidRPr="00A95BD6">
        <w:rPr>
          <w:rFonts w:ascii="Times New Roman" w:hAnsi="Times New Roman"/>
          <w:b/>
          <w:sz w:val="28"/>
          <w:szCs w:val="28"/>
        </w:rPr>
        <w:t>AZIONE</w:t>
      </w:r>
    </w:p>
    <w:p w:rsidR="00A95BD6" w:rsidRDefault="00A95BD6" w:rsidP="00C424C1">
      <w:pPr>
        <w:spacing w:after="0" w:line="360" w:lineRule="auto"/>
        <w:jc w:val="both"/>
        <w:rPr>
          <w:rFonts w:ascii="Times New Roman" w:hAnsi="Times New Roman"/>
          <w:sz w:val="28"/>
          <w:szCs w:val="28"/>
        </w:rPr>
      </w:pPr>
      <w:r>
        <w:rPr>
          <w:rFonts w:ascii="Times New Roman" w:hAnsi="Times New Roman"/>
          <w:sz w:val="28"/>
          <w:szCs w:val="28"/>
        </w:rPr>
        <w:lastRenderedPageBreak/>
        <w:t>In un quadro così complesso le possibili strade da seguire vanno dal disimpegno all’aperto contrasto con le posizioni del GA.</w:t>
      </w:r>
    </w:p>
    <w:p w:rsidR="00437B08" w:rsidRDefault="00A95BD6" w:rsidP="00C424C1">
      <w:pPr>
        <w:spacing w:after="0" w:line="360" w:lineRule="auto"/>
        <w:jc w:val="both"/>
        <w:rPr>
          <w:rFonts w:ascii="Times New Roman" w:hAnsi="Times New Roman"/>
          <w:sz w:val="28"/>
          <w:szCs w:val="28"/>
        </w:rPr>
      </w:pPr>
      <w:r>
        <w:rPr>
          <w:rFonts w:ascii="Times New Roman" w:hAnsi="Times New Roman"/>
          <w:sz w:val="28"/>
          <w:szCs w:val="28"/>
        </w:rPr>
        <w:t xml:space="preserve">1) </w:t>
      </w:r>
      <w:r w:rsidRPr="00437B08">
        <w:rPr>
          <w:rFonts w:ascii="Times New Roman" w:hAnsi="Times New Roman"/>
          <w:b/>
          <w:sz w:val="28"/>
          <w:szCs w:val="28"/>
        </w:rPr>
        <w:t xml:space="preserve">L’appiattimento sugli approdi di TAR e </w:t>
      </w:r>
      <w:proofErr w:type="spellStart"/>
      <w:r w:rsidRPr="00437B08">
        <w:rPr>
          <w:rFonts w:ascii="Times New Roman" w:hAnsi="Times New Roman"/>
          <w:b/>
          <w:sz w:val="28"/>
          <w:szCs w:val="28"/>
        </w:rPr>
        <w:t>CdS</w:t>
      </w:r>
      <w:proofErr w:type="spellEnd"/>
      <w:r>
        <w:rPr>
          <w:rFonts w:ascii="Times New Roman" w:hAnsi="Times New Roman"/>
          <w:sz w:val="28"/>
          <w:szCs w:val="28"/>
        </w:rPr>
        <w:t xml:space="preserve"> rischia di vanificare molti effetti virtuosi delle </w:t>
      </w:r>
      <w:r w:rsidRPr="00437B08">
        <w:rPr>
          <w:rFonts w:ascii="Times New Roman" w:hAnsi="Times New Roman"/>
          <w:i/>
          <w:sz w:val="28"/>
          <w:szCs w:val="28"/>
        </w:rPr>
        <w:t xml:space="preserve">best </w:t>
      </w:r>
      <w:proofErr w:type="spellStart"/>
      <w:r w:rsidRPr="00437B08">
        <w:rPr>
          <w:rFonts w:ascii="Times New Roman" w:hAnsi="Times New Roman"/>
          <w:i/>
          <w:sz w:val="28"/>
          <w:szCs w:val="28"/>
        </w:rPr>
        <w:t>practice</w:t>
      </w:r>
      <w:r w:rsidR="00437B08">
        <w:rPr>
          <w:rFonts w:ascii="Times New Roman" w:hAnsi="Times New Roman"/>
          <w:sz w:val="28"/>
          <w:szCs w:val="28"/>
        </w:rPr>
        <w:t>s</w:t>
      </w:r>
      <w:proofErr w:type="spellEnd"/>
      <w:r>
        <w:rPr>
          <w:rFonts w:ascii="Times New Roman" w:hAnsi="Times New Roman"/>
          <w:sz w:val="28"/>
          <w:szCs w:val="28"/>
        </w:rPr>
        <w:t xml:space="preserve"> fin qui affermatisi nei Tribunali e soprattutto di scontare le incertezze sull’individuazione degli organi legittimati e le difficoltà </w:t>
      </w:r>
      <w:r w:rsidR="00437B08">
        <w:rPr>
          <w:rFonts w:ascii="Times New Roman" w:hAnsi="Times New Roman"/>
          <w:sz w:val="28"/>
          <w:szCs w:val="28"/>
        </w:rPr>
        <w:t>di bandire gare pubbliche da parte di soggetti non attrezzati al riguardo.</w:t>
      </w:r>
    </w:p>
    <w:p w:rsidR="00FC1496" w:rsidRDefault="00437B08" w:rsidP="00C424C1">
      <w:pPr>
        <w:spacing w:after="0" w:line="360" w:lineRule="auto"/>
        <w:jc w:val="both"/>
        <w:rPr>
          <w:rFonts w:ascii="Times New Roman" w:hAnsi="Times New Roman"/>
          <w:sz w:val="28"/>
          <w:szCs w:val="28"/>
        </w:rPr>
      </w:pPr>
      <w:r>
        <w:rPr>
          <w:rFonts w:ascii="Times New Roman" w:hAnsi="Times New Roman"/>
          <w:sz w:val="28"/>
          <w:szCs w:val="28"/>
        </w:rPr>
        <w:t xml:space="preserve">2) </w:t>
      </w:r>
      <w:r>
        <w:rPr>
          <w:rFonts w:ascii="Times New Roman" w:hAnsi="Times New Roman"/>
          <w:b/>
          <w:sz w:val="28"/>
          <w:szCs w:val="28"/>
        </w:rPr>
        <w:t>L</w:t>
      </w:r>
      <w:r w:rsidRPr="00437B08">
        <w:rPr>
          <w:rFonts w:ascii="Times New Roman" w:hAnsi="Times New Roman"/>
          <w:b/>
          <w:sz w:val="28"/>
          <w:szCs w:val="28"/>
        </w:rPr>
        <w:t>a soluzione “carbonara”</w:t>
      </w:r>
      <w:r>
        <w:rPr>
          <w:rFonts w:ascii="Times New Roman" w:hAnsi="Times New Roman"/>
          <w:sz w:val="28"/>
          <w:szCs w:val="28"/>
        </w:rPr>
        <w:t xml:space="preserve">, che potenzialmente potrebbe disinnescare ogni rischio </w:t>
      </w:r>
      <w:r w:rsidR="00FC1496">
        <w:rPr>
          <w:rFonts w:ascii="Times New Roman" w:hAnsi="Times New Roman"/>
          <w:sz w:val="28"/>
          <w:szCs w:val="28"/>
        </w:rPr>
        <w:t xml:space="preserve">di sindacato del GA, è rappresentata dal mero coordinamento di fatto, senza l’adozione di atti che contengano direttamente o indirettamente vincoli di sorta per i Magistrati, in linea con l’isolato </w:t>
      </w:r>
      <w:proofErr w:type="spellStart"/>
      <w:r w:rsidR="00FC1496" w:rsidRPr="00FC1496">
        <w:rPr>
          <w:rFonts w:ascii="Times New Roman" w:hAnsi="Times New Roman"/>
          <w:i/>
          <w:sz w:val="28"/>
          <w:szCs w:val="28"/>
        </w:rPr>
        <w:t>dictum</w:t>
      </w:r>
      <w:proofErr w:type="spellEnd"/>
      <w:r w:rsidR="00FC1496">
        <w:rPr>
          <w:rFonts w:ascii="Times New Roman" w:hAnsi="Times New Roman"/>
          <w:sz w:val="28"/>
          <w:szCs w:val="28"/>
        </w:rPr>
        <w:t xml:space="preserve"> del TAR Emilia Romagna. Infatti se la riunione ex art. 47 </w:t>
      </w:r>
      <w:r w:rsidR="00447068">
        <w:rPr>
          <w:rFonts w:ascii="Times New Roman" w:hAnsi="Times New Roman"/>
          <w:sz w:val="28"/>
          <w:szCs w:val="28"/>
        </w:rPr>
        <w:t>qua</w:t>
      </w:r>
      <w:r w:rsidR="00FC1496">
        <w:rPr>
          <w:rFonts w:ascii="Times New Roman" w:hAnsi="Times New Roman"/>
          <w:sz w:val="28"/>
          <w:szCs w:val="28"/>
        </w:rPr>
        <w:t xml:space="preserve">ter O.G. si limita ad un mero contenuto informativo sulla base di una semplice indagine di mercato, pare potersi legittimamente escludere che vi sia una qualsiasi forma di esercizio di un potere amministrativo, salva la responsabilità per risarcimento del danno cagionato in caso di illecito </w:t>
      </w:r>
      <w:r w:rsidR="00B77E5B">
        <w:rPr>
          <w:rFonts w:ascii="Times New Roman" w:hAnsi="Times New Roman"/>
          <w:sz w:val="28"/>
          <w:szCs w:val="28"/>
        </w:rPr>
        <w:t>aquiliano</w:t>
      </w:r>
      <w:r w:rsidR="00FC1496">
        <w:rPr>
          <w:rFonts w:ascii="Times New Roman" w:hAnsi="Times New Roman"/>
          <w:sz w:val="28"/>
          <w:szCs w:val="28"/>
        </w:rPr>
        <w:t xml:space="preserve">; </w:t>
      </w:r>
      <w:r w:rsidR="00B77E5B">
        <w:rPr>
          <w:rFonts w:ascii="Times New Roman" w:hAnsi="Times New Roman"/>
          <w:sz w:val="28"/>
          <w:szCs w:val="28"/>
        </w:rPr>
        <w:t>a</w:t>
      </w:r>
      <w:r w:rsidR="00FC1496">
        <w:rPr>
          <w:rFonts w:ascii="Times New Roman" w:hAnsi="Times New Roman"/>
          <w:sz w:val="28"/>
          <w:szCs w:val="28"/>
        </w:rPr>
        <w:t xml:space="preserve">l contempo si deve registrare la tendenza del GA a ravvisare </w:t>
      </w:r>
      <w:proofErr w:type="spellStart"/>
      <w:r w:rsidR="00FC1496">
        <w:rPr>
          <w:rFonts w:ascii="Times New Roman" w:hAnsi="Times New Roman"/>
          <w:sz w:val="28"/>
          <w:szCs w:val="28"/>
        </w:rPr>
        <w:t>autovincoli</w:t>
      </w:r>
      <w:proofErr w:type="spellEnd"/>
      <w:r w:rsidR="00FC1496">
        <w:rPr>
          <w:rFonts w:ascii="Times New Roman" w:hAnsi="Times New Roman"/>
          <w:sz w:val="28"/>
          <w:szCs w:val="28"/>
        </w:rPr>
        <w:t xml:space="preserve"> di fatto, a prescindere dal contenuto degli atti e forse anche della sostanza delle cose, così che anche tale via </w:t>
      </w:r>
      <w:r w:rsidR="00447068">
        <w:rPr>
          <w:rFonts w:ascii="Times New Roman" w:hAnsi="Times New Roman"/>
          <w:sz w:val="28"/>
          <w:szCs w:val="28"/>
        </w:rPr>
        <w:t>avrebbe notevoli</w:t>
      </w:r>
      <w:r w:rsidR="00FC1496">
        <w:rPr>
          <w:rFonts w:ascii="Times New Roman" w:hAnsi="Times New Roman"/>
          <w:sz w:val="28"/>
          <w:szCs w:val="28"/>
        </w:rPr>
        <w:t xml:space="preserve"> margini di incertezza.</w:t>
      </w:r>
    </w:p>
    <w:p w:rsidR="00430F66" w:rsidRDefault="00FC1496" w:rsidP="00C424C1">
      <w:pPr>
        <w:spacing w:after="0" w:line="360" w:lineRule="auto"/>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b/>
          <w:sz w:val="28"/>
          <w:szCs w:val="28"/>
        </w:rPr>
        <w:t>L</w:t>
      </w:r>
      <w:r w:rsidRPr="00FC1496">
        <w:rPr>
          <w:rFonts w:ascii="Times New Roman" w:hAnsi="Times New Roman"/>
          <w:b/>
          <w:sz w:val="28"/>
          <w:szCs w:val="28"/>
        </w:rPr>
        <w:t>’instaurazione del dialogo</w:t>
      </w:r>
      <w:r w:rsidR="00200263">
        <w:rPr>
          <w:rFonts w:ascii="Times New Roman" w:hAnsi="Times New Roman"/>
          <w:b/>
          <w:sz w:val="28"/>
          <w:szCs w:val="28"/>
        </w:rPr>
        <w:t xml:space="preserve"> con i GA</w:t>
      </w:r>
      <w:r>
        <w:rPr>
          <w:rFonts w:ascii="Times New Roman" w:hAnsi="Times New Roman"/>
          <w:sz w:val="28"/>
          <w:szCs w:val="28"/>
        </w:rPr>
        <w:t>. Dunque sicuramente preferib</w:t>
      </w:r>
      <w:r w:rsidR="001C338B">
        <w:rPr>
          <w:rFonts w:ascii="Times New Roman" w:hAnsi="Times New Roman"/>
          <w:sz w:val="28"/>
          <w:szCs w:val="28"/>
        </w:rPr>
        <w:t>ile, anche solo per non scegliere la</w:t>
      </w:r>
      <w:r w:rsidR="00B77E5B">
        <w:rPr>
          <w:rFonts w:ascii="Times New Roman" w:hAnsi="Times New Roman"/>
          <w:sz w:val="28"/>
          <w:szCs w:val="28"/>
        </w:rPr>
        <w:t xml:space="preserve"> via della</w:t>
      </w:r>
      <w:r w:rsidR="001C338B">
        <w:rPr>
          <w:rFonts w:ascii="Times New Roman" w:hAnsi="Times New Roman"/>
          <w:sz w:val="28"/>
          <w:szCs w:val="28"/>
        </w:rPr>
        <w:t xml:space="preserve"> “clandestinità”, </w:t>
      </w:r>
      <w:r w:rsidR="00200263">
        <w:rPr>
          <w:rFonts w:ascii="Times New Roman" w:hAnsi="Times New Roman"/>
          <w:sz w:val="28"/>
          <w:szCs w:val="28"/>
        </w:rPr>
        <w:t xml:space="preserve">è cercare un confronto diretto con i Giudici amministrativi, così da sensibilizzarli </w:t>
      </w:r>
      <w:r w:rsidR="00430F66">
        <w:rPr>
          <w:rFonts w:ascii="Times New Roman" w:hAnsi="Times New Roman"/>
          <w:sz w:val="28"/>
          <w:szCs w:val="28"/>
        </w:rPr>
        <w:t>rispetto a</w:t>
      </w:r>
      <w:r w:rsidR="00200263">
        <w:rPr>
          <w:rFonts w:ascii="Times New Roman" w:hAnsi="Times New Roman"/>
          <w:sz w:val="28"/>
          <w:szCs w:val="28"/>
        </w:rPr>
        <w:t>lle “buone ragioni” giuridiche e pratiche sottese al riconoscimento ai Giudici Ordinari del potere (giurisdizionale) di organizzazione, sottratto alla disciplina dei contratti pubblici. Ciò potrebbe essere perseguito attraverso la proposta di corsi congiunti da inserire nel programma della Scuola della Magistratura ed anche attraverso la pubblicazione di articoli con dignità scientifica sulle riviste di diritto amministrativo più autorevoli, così da supportare le posizioni dei GO (l’unica nota che mi consta, pubblicata su Urbanistica e Appalti n. 2 del 2015, è sostanzialmente adesiva alla tesi dell’evidenza pubblica)</w:t>
      </w:r>
      <w:r w:rsidR="00430F66">
        <w:rPr>
          <w:rFonts w:ascii="Times New Roman" w:hAnsi="Times New Roman"/>
          <w:sz w:val="28"/>
          <w:szCs w:val="28"/>
        </w:rPr>
        <w:t>.</w:t>
      </w:r>
    </w:p>
    <w:p w:rsidR="00430F66" w:rsidRDefault="00430F66" w:rsidP="00C424C1">
      <w:pPr>
        <w:spacing w:after="0" w:line="360" w:lineRule="auto"/>
        <w:jc w:val="both"/>
        <w:rPr>
          <w:rFonts w:ascii="Times New Roman" w:hAnsi="Times New Roman"/>
          <w:sz w:val="28"/>
          <w:szCs w:val="28"/>
        </w:rPr>
      </w:pPr>
      <w:r>
        <w:rPr>
          <w:rFonts w:ascii="Times New Roman" w:hAnsi="Times New Roman"/>
          <w:sz w:val="28"/>
          <w:szCs w:val="28"/>
        </w:rPr>
        <w:t xml:space="preserve">4) E’ prospettabile anche </w:t>
      </w:r>
      <w:r w:rsidRPr="00430F66">
        <w:rPr>
          <w:rFonts w:ascii="Times New Roman" w:hAnsi="Times New Roman"/>
          <w:b/>
          <w:sz w:val="28"/>
          <w:szCs w:val="28"/>
        </w:rPr>
        <w:t>la via dell’aperto conflitto</w:t>
      </w:r>
      <w:r>
        <w:rPr>
          <w:rFonts w:ascii="Times New Roman" w:hAnsi="Times New Roman"/>
          <w:sz w:val="28"/>
          <w:szCs w:val="28"/>
        </w:rPr>
        <w:t xml:space="preserve">, rimettendo la questione ad istanze </w:t>
      </w:r>
      <w:r w:rsidR="00B77E5B">
        <w:rPr>
          <w:rFonts w:ascii="Times New Roman" w:hAnsi="Times New Roman"/>
          <w:sz w:val="28"/>
          <w:szCs w:val="28"/>
        </w:rPr>
        <w:t xml:space="preserve">superiori </w:t>
      </w:r>
      <w:r>
        <w:rPr>
          <w:rFonts w:ascii="Times New Roman" w:hAnsi="Times New Roman"/>
          <w:sz w:val="28"/>
          <w:szCs w:val="28"/>
        </w:rPr>
        <w:t>di giurisdizione, ovviamente previo oneroso ed approfondito studio.</w:t>
      </w:r>
    </w:p>
    <w:p w:rsidR="00B77E5B" w:rsidRDefault="00430F66" w:rsidP="00C424C1">
      <w:pPr>
        <w:spacing w:after="0" w:line="360" w:lineRule="auto"/>
        <w:jc w:val="both"/>
        <w:rPr>
          <w:rFonts w:ascii="Times New Roman" w:hAnsi="Times New Roman"/>
          <w:sz w:val="28"/>
          <w:szCs w:val="28"/>
        </w:rPr>
      </w:pPr>
      <w:r>
        <w:rPr>
          <w:rFonts w:ascii="Times New Roman" w:hAnsi="Times New Roman"/>
          <w:sz w:val="28"/>
          <w:szCs w:val="28"/>
        </w:rPr>
        <w:lastRenderedPageBreak/>
        <w:t>- E’ evidente che il GA, nella misura in cui nega la natura giurisdizionale del potere organizzativo del GO, dà una precisa interpretazione restrittiva dell’ambito costituzionale di estensione dei poteri della giurisdizione ordinaria, così che è astrattamente configurabile il conflitto di attribuzione tra poteri dello Stato. Non si tratta infatti di contrasti positivi o negativi di giurisdizione ma</w:t>
      </w:r>
      <w:r w:rsidR="00B77E5B">
        <w:rPr>
          <w:rFonts w:ascii="Times New Roman" w:hAnsi="Times New Roman"/>
          <w:sz w:val="28"/>
          <w:szCs w:val="28"/>
        </w:rPr>
        <w:t xml:space="preserve"> </w:t>
      </w:r>
      <w:r>
        <w:rPr>
          <w:rFonts w:ascii="Times New Roman" w:hAnsi="Times New Roman"/>
          <w:sz w:val="28"/>
          <w:szCs w:val="28"/>
        </w:rPr>
        <w:t xml:space="preserve">di delimitazione dei confini delle </w:t>
      </w:r>
      <w:r w:rsidR="00B77E5B">
        <w:rPr>
          <w:rFonts w:ascii="Times New Roman" w:hAnsi="Times New Roman"/>
          <w:sz w:val="28"/>
          <w:szCs w:val="28"/>
        </w:rPr>
        <w:t xml:space="preserve">reciproche </w:t>
      </w:r>
      <w:r>
        <w:rPr>
          <w:rFonts w:ascii="Times New Roman" w:hAnsi="Times New Roman"/>
          <w:sz w:val="28"/>
          <w:szCs w:val="28"/>
        </w:rPr>
        <w:t xml:space="preserve">attribuzioni costituzionali. </w:t>
      </w:r>
    </w:p>
    <w:p w:rsidR="005D76B2" w:rsidRDefault="00B77E5B" w:rsidP="00C424C1">
      <w:pPr>
        <w:spacing w:after="0" w:line="360" w:lineRule="auto"/>
        <w:jc w:val="both"/>
        <w:rPr>
          <w:rFonts w:ascii="Times New Roman" w:hAnsi="Times New Roman"/>
          <w:sz w:val="28"/>
          <w:szCs w:val="28"/>
        </w:rPr>
      </w:pPr>
      <w:r>
        <w:rPr>
          <w:rFonts w:ascii="Times New Roman" w:hAnsi="Times New Roman"/>
          <w:sz w:val="28"/>
          <w:szCs w:val="28"/>
        </w:rPr>
        <w:t xml:space="preserve">- Inoltre la derivazione comunitaria del codice degli appalti pubblici rende possibile </w:t>
      </w:r>
      <w:r w:rsidR="00E60A71">
        <w:rPr>
          <w:rFonts w:ascii="Times New Roman" w:hAnsi="Times New Roman"/>
          <w:sz w:val="28"/>
          <w:szCs w:val="28"/>
        </w:rPr>
        <w:t>(</w:t>
      </w:r>
      <w:r>
        <w:rPr>
          <w:rFonts w:ascii="Times New Roman" w:hAnsi="Times New Roman"/>
          <w:sz w:val="28"/>
          <w:szCs w:val="28"/>
        </w:rPr>
        <w:t>e forse opportuna</w:t>
      </w:r>
      <w:r w:rsidR="00E60A71">
        <w:rPr>
          <w:rFonts w:ascii="Times New Roman" w:hAnsi="Times New Roman"/>
          <w:sz w:val="28"/>
          <w:szCs w:val="28"/>
        </w:rPr>
        <w:t xml:space="preserve"> se non inevitabile) </w:t>
      </w:r>
      <w:r>
        <w:rPr>
          <w:rFonts w:ascii="Times New Roman" w:hAnsi="Times New Roman"/>
          <w:sz w:val="28"/>
          <w:szCs w:val="28"/>
        </w:rPr>
        <w:t xml:space="preserve">la strada della questione pregiudiziale per capire se contrasta con il diritto comunitario l’interpretazione che esclude le Autorità giurisdizionali dalla nozione di pubblica amministrazione in caso di affidamento di servizi strettamente funzionali alla giurisdizione; una eventuale risposta di esclusione del contrasto </w:t>
      </w:r>
      <w:r w:rsidR="00E60A71">
        <w:rPr>
          <w:rFonts w:ascii="Times New Roman" w:hAnsi="Times New Roman"/>
          <w:sz w:val="28"/>
          <w:szCs w:val="28"/>
        </w:rPr>
        <w:t>renderebbe</w:t>
      </w:r>
      <w:r>
        <w:rPr>
          <w:rFonts w:ascii="Times New Roman" w:hAnsi="Times New Roman"/>
          <w:sz w:val="28"/>
          <w:szCs w:val="28"/>
        </w:rPr>
        <w:t xml:space="preserve"> agevole l’ottenimento di un </w:t>
      </w:r>
      <w:proofErr w:type="spellStart"/>
      <w:r w:rsidRPr="00E60A71">
        <w:rPr>
          <w:rFonts w:ascii="Times New Roman" w:hAnsi="Times New Roman"/>
          <w:i/>
          <w:sz w:val="28"/>
          <w:szCs w:val="28"/>
        </w:rPr>
        <w:t>revirement</w:t>
      </w:r>
      <w:proofErr w:type="spellEnd"/>
      <w:r w:rsidRPr="00E60A71">
        <w:rPr>
          <w:rFonts w:ascii="Times New Roman" w:hAnsi="Times New Roman"/>
          <w:i/>
          <w:sz w:val="28"/>
          <w:szCs w:val="28"/>
        </w:rPr>
        <w:t xml:space="preserve"> </w:t>
      </w:r>
      <w:r>
        <w:rPr>
          <w:rFonts w:ascii="Times New Roman" w:hAnsi="Times New Roman"/>
          <w:sz w:val="28"/>
          <w:szCs w:val="28"/>
        </w:rPr>
        <w:t xml:space="preserve">da parte del GA; la risposta </w:t>
      </w:r>
      <w:r w:rsidR="005D76B2">
        <w:rPr>
          <w:rFonts w:ascii="Times New Roman" w:hAnsi="Times New Roman"/>
          <w:sz w:val="28"/>
          <w:szCs w:val="28"/>
        </w:rPr>
        <w:t>positiva, invece, potrebbe consentire di mettere “l’anima in pace”.</w:t>
      </w:r>
    </w:p>
    <w:p w:rsidR="006538F4" w:rsidRDefault="005D76B2" w:rsidP="00C424C1">
      <w:pPr>
        <w:spacing w:after="0" w:line="360" w:lineRule="auto"/>
        <w:jc w:val="both"/>
        <w:rPr>
          <w:rFonts w:ascii="Times New Roman" w:hAnsi="Times New Roman"/>
          <w:sz w:val="28"/>
          <w:szCs w:val="28"/>
        </w:rPr>
      </w:pPr>
      <w:r>
        <w:rPr>
          <w:rFonts w:ascii="Times New Roman" w:hAnsi="Times New Roman"/>
          <w:sz w:val="28"/>
          <w:szCs w:val="28"/>
        </w:rPr>
        <w:t xml:space="preserve">5) infine rimane quanto mai opportuno l’eventuale dialogo con il Legislatore per ottenere la </w:t>
      </w:r>
      <w:proofErr w:type="spellStart"/>
      <w:r>
        <w:rPr>
          <w:rFonts w:ascii="Times New Roman" w:hAnsi="Times New Roman"/>
          <w:sz w:val="28"/>
          <w:szCs w:val="28"/>
        </w:rPr>
        <w:t>positivizzazione</w:t>
      </w:r>
      <w:proofErr w:type="spellEnd"/>
      <w:r>
        <w:rPr>
          <w:rFonts w:ascii="Times New Roman" w:hAnsi="Times New Roman"/>
          <w:sz w:val="28"/>
          <w:szCs w:val="28"/>
        </w:rPr>
        <w:t xml:space="preserve"> di regole chiare in un campo così delicato ed importante, che non mortifichino l’ambito della giurisdizione ed abbiano come baricentro l’effettività dei diritti piuttosto che </w:t>
      </w:r>
      <w:r w:rsidR="00E60A71">
        <w:rPr>
          <w:rFonts w:ascii="Times New Roman" w:hAnsi="Times New Roman"/>
          <w:sz w:val="28"/>
          <w:szCs w:val="28"/>
        </w:rPr>
        <w:t>una impostazione difensiva, formale e burocratica</w:t>
      </w:r>
      <w:r>
        <w:rPr>
          <w:rFonts w:ascii="Times New Roman" w:hAnsi="Times New Roman"/>
          <w:sz w:val="28"/>
          <w:szCs w:val="28"/>
        </w:rPr>
        <w:t xml:space="preserve">. </w:t>
      </w:r>
      <w:r w:rsidR="00430F66">
        <w:rPr>
          <w:rFonts w:ascii="Times New Roman" w:hAnsi="Times New Roman"/>
          <w:sz w:val="28"/>
          <w:szCs w:val="28"/>
        </w:rPr>
        <w:t xml:space="preserve">  </w:t>
      </w:r>
      <w:r w:rsidR="00200263">
        <w:rPr>
          <w:rFonts w:ascii="Times New Roman" w:hAnsi="Times New Roman"/>
          <w:sz w:val="28"/>
          <w:szCs w:val="28"/>
        </w:rPr>
        <w:t xml:space="preserve"> </w:t>
      </w:r>
      <w:r w:rsidR="00FC1496">
        <w:rPr>
          <w:rFonts w:ascii="Times New Roman" w:hAnsi="Times New Roman"/>
          <w:sz w:val="28"/>
          <w:szCs w:val="28"/>
        </w:rPr>
        <w:t xml:space="preserve"> </w:t>
      </w:r>
    </w:p>
    <w:p w:rsidR="00E60A71" w:rsidRDefault="00E60A71" w:rsidP="00E60A71">
      <w:pPr>
        <w:spacing w:after="0" w:line="360" w:lineRule="auto"/>
        <w:jc w:val="center"/>
        <w:rPr>
          <w:rFonts w:ascii="Times New Roman" w:hAnsi="Times New Roman"/>
          <w:sz w:val="28"/>
          <w:szCs w:val="28"/>
        </w:rPr>
      </w:pPr>
    </w:p>
    <w:p w:rsidR="00E60A71" w:rsidRDefault="00E60A71" w:rsidP="00E60A71">
      <w:pPr>
        <w:spacing w:after="0" w:line="360" w:lineRule="auto"/>
        <w:jc w:val="center"/>
        <w:rPr>
          <w:rFonts w:ascii="Times New Roman" w:hAnsi="Times New Roman"/>
          <w:sz w:val="28"/>
          <w:szCs w:val="28"/>
        </w:rPr>
      </w:pPr>
      <w:r>
        <w:rPr>
          <w:rFonts w:ascii="Times New Roman" w:hAnsi="Times New Roman"/>
          <w:sz w:val="28"/>
          <w:szCs w:val="28"/>
        </w:rPr>
        <w:t>Dario Colasanti</w:t>
      </w:r>
    </w:p>
    <w:p w:rsidR="00433A11" w:rsidRDefault="00433A11" w:rsidP="00C424C1">
      <w:pPr>
        <w:spacing w:after="0" w:line="360" w:lineRule="auto"/>
        <w:jc w:val="both"/>
        <w:rPr>
          <w:rFonts w:ascii="Times New Roman" w:hAnsi="Times New Roman"/>
          <w:sz w:val="28"/>
          <w:szCs w:val="28"/>
        </w:rPr>
      </w:pPr>
    </w:p>
    <w:p w:rsidR="002C6012" w:rsidRPr="006821DD" w:rsidRDefault="009341F4" w:rsidP="002C6012">
      <w:pPr>
        <w:spacing w:after="0" w:line="360" w:lineRule="auto"/>
        <w:jc w:val="both"/>
        <w:rPr>
          <w:rFonts w:ascii="Times New Roman" w:hAnsi="Times New Roman"/>
          <w:sz w:val="28"/>
          <w:szCs w:val="28"/>
        </w:rPr>
      </w:pPr>
      <w:r>
        <w:rPr>
          <w:rFonts w:ascii="Times New Roman" w:hAnsi="Times New Roman"/>
          <w:sz w:val="28"/>
          <w:szCs w:val="28"/>
        </w:rPr>
        <w:t xml:space="preserve">  </w:t>
      </w:r>
      <w:r w:rsidR="002C6012">
        <w:rPr>
          <w:rFonts w:ascii="Times New Roman" w:hAnsi="Times New Roman"/>
          <w:sz w:val="28"/>
          <w:szCs w:val="28"/>
        </w:rPr>
        <w:t xml:space="preserve"> </w:t>
      </w:r>
    </w:p>
    <w:p w:rsidR="004319B3" w:rsidRDefault="006821DD" w:rsidP="00D45718">
      <w:pPr>
        <w:spacing w:after="0" w:line="360" w:lineRule="auto"/>
        <w:jc w:val="both"/>
        <w:rPr>
          <w:rFonts w:ascii="Times New Roman" w:hAnsi="Times New Roman"/>
          <w:sz w:val="28"/>
          <w:szCs w:val="28"/>
        </w:rPr>
      </w:pPr>
      <w:r>
        <w:rPr>
          <w:rFonts w:ascii="Times New Roman" w:hAnsi="Times New Roman"/>
          <w:sz w:val="28"/>
          <w:szCs w:val="28"/>
        </w:rPr>
        <w:t xml:space="preserve"> </w:t>
      </w:r>
      <w:r w:rsidR="007B0A06">
        <w:rPr>
          <w:rFonts w:ascii="Times New Roman" w:hAnsi="Times New Roman"/>
          <w:sz w:val="28"/>
          <w:szCs w:val="28"/>
        </w:rPr>
        <w:t xml:space="preserve"> </w:t>
      </w:r>
    </w:p>
    <w:p w:rsidR="000F1AE2" w:rsidRDefault="000F1AE2" w:rsidP="00D45718">
      <w:pPr>
        <w:spacing w:after="0" w:line="360" w:lineRule="auto"/>
        <w:jc w:val="both"/>
        <w:rPr>
          <w:rFonts w:ascii="Times New Roman" w:hAnsi="Times New Roman"/>
          <w:sz w:val="28"/>
          <w:szCs w:val="28"/>
        </w:rPr>
      </w:pPr>
    </w:p>
    <w:sectPr w:rsidR="000F1AE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B309B"/>
    <w:multiLevelType w:val="hybridMultilevel"/>
    <w:tmpl w:val="F516F0E2"/>
    <w:lvl w:ilvl="0" w:tplc="0C00B4D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D9"/>
    <w:rsid w:val="00005F64"/>
    <w:rsid w:val="0001288A"/>
    <w:rsid w:val="00023FD5"/>
    <w:rsid w:val="000431EC"/>
    <w:rsid w:val="00047831"/>
    <w:rsid w:val="00053102"/>
    <w:rsid w:val="000C2A75"/>
    <w:rsid w:val="000F1AE2"/>
    <w:rsid w:val="000F3AC3"/>
    <w:rsid w:val="00121CB2"/>
    <w:rsid w:val="0015662F"/>
    <w:rsid w:val="00156B7E"/>
    <w:rsid w:val="00160190"/>
    <w:rsid w:val="001C338B"/>
    <w:rsid w:val="00200263"/>
    <w:rsid w:val="00215781"/>
    <w:rsid w:val="002476BE"/>
    <w:rsid w:val="0028043F"/>
    <w:rsid w:val="00285F43"/>
    <w:rsid w:val="00295BAC"/>
    <w:rsid w:val="002A57D8"/>
    <w:rsid w:val="002C6012"/>
    <w:rsid w:val="002D14A4"/>
    <w:rsid w:val="002F19FF"/>
    <w:rsid w:val="002F56D8"/>
    <w:rsid w:val="003345BF"/>
    <w:rsid w:val="00353BFF"/>
    <w:rsid w:val="003C05A4"/>
    <w:rsid w:val="003D22D4"/>
    <w:rsid w:val="003D7509"/>
    <w:rsid w:val="00421351"/>
    <w:rsid w:val="004306AD"/>
    <w:rsid w:val="00430F66"/>
    <w:rsid w:val="004319B3"/>
    <w:rsid w:val="00433A11"/>
    <w:rsid w:val="00437B08"/>
    <w:rsid w:val="00447068"/>
    <w:rsid w:val="004C41D5"/>
    <w:rsid w:val="004F0709"/>
    <w:rsid w:val="005142AB"/>
    <w:rsid w:val="005D76B2"/>
    <w:rsid w:val="005F04D9"/>
    <w:rsid w:val="006538F4"/>
    <w:rsid w:val="006562A3"/>
    <w:rsid w:val="00661E8A"/>
    <w:rsid w:val="00680222"/>
    <w:rsid w:val="006821DD"/>
    <w:rsid w:val="006C6E5C"/>
    <w:rsid w:val="006E0C56"/>
    <w:rsid w:val="00752E6E"/>
    <w:rsid w:val="0079541A"/>
    <w:rsid w:val="007A6C12"/>
    <w:rsid w:val="007B0A06"/>
    <w:rsid w:val="00836969"/>
    <w:rsid w:val="00884C30"/>
    <w:rsid w:val="008A4FC3"/>
    <w:rsid w:val="008D7774"/>
    <w:rsid w:val="008E2F50"/>
    <w:rsid w:val="008F798E"/>
    <w:rsid w:val="009154DE"/>
    <w:rsid w:val="009341F4"/>
    <w:rsid w:val="009743D5"/>
    <w:rsid w:val="009D7DF8"/>
    <w:rsid w:val="00A1484D"/>
    <w:rsid w:val="00A95BD6"/>
    <w:rsid w:val="00AC63AB"/>
    <w:rsid w:val="00AD1FAC"/>
    <w:rsid w:val="00AD250F"/>
    <w:rsid w:val="00AF0259"/>
    <w:rsid w:val="00B107E1"/>
    <w:rsid w:val="00B77E5B"/>
    <w:rsid w:val="00B9117E"/>
    <w:rsid w:val="00BB56B5"/>
    <w:rsid w:val="00BB7B1F"/>
    <w:rsid w:val="00BD568D"/>
    <w:rsid w:val="00BE0CA8"/>
    <w:rsid w:val="00BE5682"/>
    <w:rsid w:val="00C1103C"/>
    <w:rsid w:val="00C15D2A"/>
    <w:rsid w:val="00C424C1"/>
    <w:rsid w:val="00C728F9"/>
    <w:rsid w:val="00C73AB2"/>
    <w:rsid w:val="00C94CC8"/>
    <w:rsid w:val="00C96849"/>
    <w:rsid w:val="00CA0CCA"/>
    <w:rsid w:val="00CB4E0C"/>
    <w:rsid w:val="00CB764A"/>
    <w:rsid w:val="00D45718"/>
    <w:rsid w:val="00D51948"/>
    <w:rsid w:val="00D72C92"/>
    <w:rsid w:val="00DD350D"/>
    <w:rsid w:val="00E60A71"/>
    <w:rsid w:val="00E65D40"/>
    <w:rsid w:val="00E767A0"/>
    <w:rsid w:val="00EE6E69"/>
    <w:rsid w:val="00F061D9"/>
    <w:rsid w:val="00F3100E"/>
    <w:rsid w:val="00FC1496"/>
    <w:rsid w:val="00FE00DF"/>
    <w:rsid w:val="00FF0245"/>
    <w:rsid w:val="00FF44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F04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F04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2533</Words>
  <Characters>14441</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Min. Giustizia</Company>
  <LinksUpToDate>false</LinksUpToDate>
  <CharactersWithSpaces>16941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Dario Colasanti</dc:creator>
  <cp:lastModifiedBy>Barbara Perna</cp:lastModifiedBy>
  <cp:revision>2</cp:revision>
  <dcterms:created xsi:type="dcterms:W3CDTF">2018-03-27T06:18:00Z</dcterms:created>
  <dcterms:modified xsi:type="dcterms:W3CDTF">2018-03-27T06:18:00Z</dcterms:modified>
</cp:coreProperties>
</file>