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E" w:rsidRDefault="00403302" w:rsidP="00DA725A">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SServolo</w:t>
      </w:r>
      <w:proofErr w:type="spellEnd"/>
      <w:r>
        <w:rPr>
          <w:rFonts w:ascii="Times New Roman" w:hAnsi="Times New Roman" w:cs="Times New Roman"/>
          <w:sz w:val="24"/>
          <w:szCs w:val="24"/>
        </w:rPr>
        <w:t>, 5 novembre 2017</w:t>
      </w:r>
    </w:p>
    <w:p w:rsidR="0085040C" w:rsidRPr="00DA725A" w:rsidRDefault="0085040C" w:rsidP="00DA725A">
      <w:pPr>
        <w:contextualSpacing/>
        <w:jc w:val="both"/>
        <w:rPr>
          <w:rFonts w:ascii="Times New Roman" w:hAnsi="Times New Roman" w:cs="Times New Roman"/>
          <w:sz w:val="24"/>
          <w:szCs w:val="24"/>
        </w:rPr>
      </w:pPr>
    </w:p>
    <w:p w:rsidR="0096730A" w:rsidRPr="00DA725A" w:rsidRDefault="00F847E4" w:rsidP="00DA725A">
      <w:pPr>
        <w:pStyle w:val="TITCOMM"/>
        <w:jc w:val="both"/>
        <w:rPr>
          <w:b/>
          <w:sz w:val="24"/>
          <w:szCs w:val="24"/>
        </w:rPr>
      </w:pPr>
      <w:r w:rsidRPr="00DA725A">
        <w:rPr>
          <w:b/>
          <w:sz w:val="24"/>
          <w:szCs w:val="24"/>
        </w:rPr>
        <w:t>Le vendite forzate telematiche</w:t>
      </w:r>
    </w:p>
    <w:p w:rsidR="0096730A" w:rsidRPr="00DA725A" w:rsidRDefault="0096730A" w:rsidP="00DA725A">
      <w:pPr>
        <w:pStyle w:val="SOMMARIO"/>
        <w:rPr>
          <w:b/>
          <w:sz w:val="24"/>
          <w:szCs w:val="24"/>
        </w:rPr>
      </w:pPr>
      <w:r w:rsidRPr="00DA725A">
        <w:rPr>
          <w:b/>
          <w:sz w:val="24"/>
          <w:szCs w:val="24"/>
        </w:rPr>
        <w:t>Alberto Crivelli, giudice</w:t>
      </w:r>
      <w:r w:rsidR="00292561" w:rsidRPr="00DA725A">
        <w:rPr>
          <w:b/>
          <w:sz w:val="24"/>
          <w:szCs w:val="24"/>
        </w:rPr>
        <w:t xml:space="preserve"> delegato e</w:t>
      </w:r>
      <w:r w:rsidRPr="00DA725A">
        <w:rPr>
          <w:b/>
          <w:sz w:val="24"/>
          <w:szCs w:val="24"/>
        </w:rPr>
        <w:t xml:space="preserve"> dell’esecuzione nel Tribunale di Monza</w:t>
      </w:r>
    </w:p>
    <w:p w:rsidR="00DA725A" w:rsidRDefault="0096730A" w:rsidP="00DA725A">
      <w:pPr>
        <w:pStyle w:val="SOMMARIO"/>
        <w:rPr>
          <w:sz w:val="24"/>
          <w:szCs w:val="24"/>
        </w:rPr>
      </w:pPr>
      <w:r w:rsidRPr="00DA725A">
        <w:rPr>
          <w:b/>
          <w:i/>
          <w:sz w:val="24"/>
          <w:szCs w:val="24"/>
        </w:rPr>
        <w:t xml:space="preserve"> </w:t>
      </w:r>
      <w:r w:rsidRPr="00DA725A">
        <w:rPr>
          <w:b/>
          <w:sz w:val="24"/>
          <w:szCs w:val="24"/>
        </w:rPr>
        <w:t>1.</w:t>
      </w:r>
      <w:r w:rsidRPr="00DA725A">
        <w:rPr>
          <w:sz w:val="24"/>
          <w:szCs w:val="24"/>
        </w:rPr>
        <w:t xml:space="preserve"> </w:t>
      </w:r>
      <w:r w:rsidR="00414E1A">
        <w:rPr>
          <w:sz w:val="24"/>
          <w:szCs w:val="24"/>
        </w:rPr>
        <w:t>Premesse</w:t>
      </w:r>
      <w:r w:rsidRPr="00DA725A">
        <w:rPr>
          <w:sz w:val="24"/>
          <w:szCs w:val="24"/>
        </w:rPr>
        <w:t xml:space="preserve"> – </w:t>
      </w:r>
      <w:r w:rsidR="00A027C0" w:rsidRPr="00DA725A">
        <w:rPr>
          <w:sz w:val="24"/>
          <w:szCs w:val="24"/>
        </w:rPr>
        <w:t xml:space="preserve">2. </w:t>
      </w:r>
      <w:r w:rsidR="00A31D8E">
        <w:rPr>
          <w:sz w:val="24"/>
          <w:szCs w:val="24"/>
        </w:rPr>
        <w:t>Entrata in vigore – 3.Le tipologie di vendita – 4. Modalità delle vendite e verbalizzazione – 5. Pubblicità</w:t>
      </w:r>
      <w:r w:rsidR="00BD2589">
        <w:rPr>
          <w:sz w:val="24"/>
          <w:szCs w:val="24"/>
        </w:rPr>
        <w:t xml:space="preserve">, portale delle vendite </w:t>
      </w:r>
      <w:r w:rsidR="00414E1A">
        <w:rPr>
          <w:sz w:val="24"/>
          <w:szCs w:val="24"/>
        </w:rPr>
        <w:t xml:space="preserve"> e gestore delle vendite </w:t>
      </w:r>
    </w:p>
    <w:p w:rsidR="0096730A" w:rsidRDefault="0096730A" w:rsidP="00DA725A">
      <w:pPr>
        <w:pStyle w:val="SOMMARIO"/>
        <w:rPr>
          <w:sz w:val="24"/>
          <w:szCs w:val="24"/>
        </w:rPr>
      </w:pPr>
    </w:p>
    <w:p w:rsidR="00403302" w:rsidRPr="00DA725A" w:rsidRDefault="00403302" w:rsidP="00DA725A">
      <w:pPr>
        <w:pStyle w:val="SOMMARIO"/>
        <w:rPr>
          <w:sz w:val="24"/>
          <w:szCs w:val="24"/>
        </w:rPr>
      </w:pPr>
    </w:p>
    <w:p w:rsidR="00F847E4" w:rsidRPr="00DA725A" w:rsidRDefault="00414E1A" w:rsidP="00036BD9">
      <w:pPr>
        <w:pStyle w:val="TESTOCOMM"/>
        <w:numPr>
          <w:ilvl w:val="0"/>
          <w:numId w:val="12"/>
        </w:numPr>
        <w:rPr>
          <w:b/>
          <w:sz w:val="24"/>
          <w:szCs w:val="24"/>
        </w:rPr>
      </w:pPr>
      <w:r>
        <w:rPr>
          <w:b/>
          <w:sz w:val="24"/>
          <w:szCs w:val="24"/>
        </w:rPr>
        <w:t>PREMESSE</w:t>
      </w:r>
    </w:p>
    <w:p w:rsidR="00403302" w:rsidRDefault="00403302" w:rsidP="00403302">
      <w:pPr>
        <w:spacing w:line="240" w:lineRule="auto"/>
        <w:jc w:val="both"/>
        <w:rPr>
          <w:rFonts w:ascii="Times New Roman" w:hAnsi="Times New Roman" w:cs="Times New Roman"/>
          <w:sz w:val="24"/>
          <w:szCs w:val="24"/>
        </w:rPr>
      </w:pPr>
    </w:p>
    <w:p w:rsidR="004B02F0" w:rsidRPr="00DA725A" w:rsidRDefault="004B02F0"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Il decreto legge</w:t>
      </w:r>
      <w:r w:rsidR="00DA725A">
        <w:rPr>
          <w:rFonts w:ascii="Times New Roman" w:hAnsi="Times New Roman" w:cs="Times New Roman"/>
          <w:sz w:val="24"/>
          <w:szCs w:val="24"/>
        </w:rPr>
        <w:t xml:space="preserve"> n.</w:t>
      </w:r>
      <w:r w:rsidRPr="00DA725A">
        <w:rPr>
          <w:rFonts w:ascii="Times New Roman" w:hAnsi="Times New Roman" w:cs="Times New Roman"/>
          <w:sz w:val="24"/>
          <w:szCs w:val="24"/>
        </w:rPr>
        <w:t xml:space="preserve"> 193 del  2009, convertito nella legge n.24 del 2010, aveva introdotto tanto nel processo d’espropriazione forzata mobiliare quanto in quello immobiliare</w:t>
      </w:r>
      <w:r w:rsidR="002420CA" w:rsidRPr="00DA725A">
        <w:rPr>
          <w:rFonts w:ascii="Times New Roman" w:hAnsi="Times New Roman" w:cs="Times New Roman"/>
          <w:sz w:val="24"/>
          <w:szCs w:val="24"/>
        </w:rPr>
        <w:t xml:space="preserve"> – a mezzo di modifica degli artt. 530</w:t>
      </w:r>
      <w:r w:rsidR="009066C9">
        <w:rPr>
          <w:rFonts w:ascii="Times New Roman" w:hAnsi="Times New Roman" w:cs="Times New Roman"/>
          <w:sz w:val="24"/>
          <w:szCs w:val="24"/>
        </w:rPr>
        <w:t xml:space="preserve">, </w:t>
      </w:r>
      <w:r w:rsidR="00E32E73">
        <w:rPr>
          <w:rFonts w:ascii="Times New Roman" w:hAnsi="Times New Roman" w:cs="Times New Roman"/>
          <w:sz w:val="24"/>
          <w:szCs w:val="24"/>
        </w:rPr>
        <w:t>6</w:t>
      </w:r>
      <w:r w:rsidR="009066C9">
        <w:rPr>
          <w:rFonts w:ascii="Times New Roman" w:hAnsi="Times New Roman" w:cs="Times New Roman"/>
          <w:sz w:val="24"/>
          <w:szCs w:val="24"/>
        </w:rPr>
        <w:t>° co.</w:t>
      </w:r>
      <w:r w:rsidR="002420CA" w:rsidRPr="00DA725A">
        <w:rPr>
          <w:rFonts w:ascii="Times New Roman" w:hAnsi="Times New Roman" w:cs="Times New Roman"/>
          <w:sz w:val="24"/>
          <w:szCs w:val="24"/>
        </w:rPr>
        <w:t xml:space="preserve"> e 569</w:t>
      </w:r>
      <w:r w:rsidR="009066C9">
        <w:rPr>
          <w:rFonts w:ascii="Times New Roman" w:hAnsi="Times New Roman" w:cs="Times New Roman"/>
          <w:sz w:val="24"/>
          <w:szCs w:val="24"/>
        </w:rPr>
        <w:t xml:space="preserve">, 4° co., </w:t>
      </w:r>
      <w:r w:rsidR="002420CA" w:rsidRPr="00DA725A">
        <w:rPr>
          <w:rFonts w:ascii="Times New Roman" w:hAnsi="Times New Roman" w:cs="Times New Roman"/>
          <w:sz w:val="24"/>
          <w:szCs w:val="24"/>
        </w:rPr>
        <w:t xml:space="preserve"> </w:t>
      </w:r>
      <w:proofErr w:type="spellStart"/>
      <w:r w:rsidR="002420CA" w:rsidRPr="00DA725A">
        <w:rPr>
          <w:rFonts w:ascii="Times New Roman" w:hAnsi="Times New Roman" w:cs="Times New Roman"/>
          <w:sz w:val="24"/>
          <w:szCs w:val="24"/>
        </w:rPr>
        <w:t>cpc</w:t>
      </w:r>
      <w:proofErr w:type="spellEnd"/>
      <w:r w:rsidR="002420CA" w:rsidRPr="00DA725A">
        <w:rPr>
          <w:rFonts w:ascii="Times New Roman" w:hAnsi="Times New Roman" w:cs="Times New Roman"/>
          <w:sz w:val="24"/>
          <w:szCs w:val="24"/>
        </w:rPr>
        <w:t xml:space="preserve"> - </w:t>
      </w:r>
      <w:r w:rsidRPr="00DA725A">
        <w:rPr>
          <w:rFonts w:ascii="Times New Roman" w:hAnsi="Times New Roman" w:cs="Times New Roman"/>
          <w:sz w:val="24"/>
          <w:szCs w:val="24"/>
        </w:rPr>
        <w:t xml:space="preserve"> la facoltà per il giudice di stabilire che il versamento della cauzione, la presentazione dell’offerta, lo svolgimento della gara e l’incanto (nei casi previsti anche in materia immobiliare) fossero effettuati con modalità telematiche. Molto opportunamente tali modalità costituivano una facoltà del giudice, il quale poteva decidere anche sulla base dell’evoluzione telematica del proprio ufficio di appartenenza, e più in generale </w:t>
      </w:r>
      <w:r w:rsidR="00A31D8E">
        <w:rPr>
          <w:rFonts w:ascii="Times New Roman" w:hAnsi="Times New Roman" w:cs="Times New Roman"/>
          <w:sz w:val="24"/>
          <w:szCs w:val="24"/>
        </w:rPr>
        <w:t>di</w:t>
      </w:r>
      <w:r w:rsidRPr="00DA725A">
        <w:rPr>
          <w:rFonts w:ascii="Times New Roman" w:hAnsi="Times New Roman" w:cs="Times New Roman"/>
          <w:sz w:val="24"/>
          <w:szCs w:val="24"/>
        </w:rPr>
        <w:t xml:space="preserve"> quella della giustizia italiana. </w:t>
      </w:r>
    </w:p>
    <w:p w:rsidR="004B02F0" w:rsidRPr="00DA725A" w:rsidRDefault="00403302"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Il</w:t>
      </w:r>
      <w:r w:rsidR="004B02F0" w:rsidRPr="00DA725A">
        <w:rPr>
          <w:rFonts w:ascii="Times New Roman" w:hAnsi="Times New Roman" w:cs="Times New Roman"/>
          <w:sz w:val="24"/>
          <w:szCs w:val="24"/>
        </w:rPr>
        <w:t xml:space="preserve"> legislatore</w:t>
      </w:r>
      <w:r>
        <w:rPr>
          <w:rFonts w:ascii="Times New Roman" w:hAnsi="Times New Roman" w:cs="Times New Roman"/>
          <w:sz w:val="24"/>
          <w:szCs w:val="24"/>
        </w:rPr>
        <w:t xml:space="preserve"> però</w:t>
      </w:r>
      <w:bookmarkStart w:id="0" w:name="_GoBack"/>
      <w:bookmarkEnd w:id="0"/>
      <w:r w:rsidR="004B02F0" w:rsidRPr="00DA725A">
        <w:rPr>
          <w:rFonts w:ascii="Times New Roman" w:hAnsi="Times New Roman" w:cs="Times New Roman"/>
          <w:sz w:val="24"/>
          <w:szCs w:val="24"/>
        </w:rPr>
        <w:t xml:space="preserve">, convinto della bontà dello strumento (che indubbiamente in sé </w:t>
      </w:r>
      <w:r w:rsidR="00062AC2">
        <w:rPr>
          <w:rFonts w:ascii="Times New Roman" w:hAnsi="Times New Roman" w:cs="Times New Roman"/>
          <w:sz w:val="24"/>
          <w:szCs w:val="24"/>
        </w:rPr>
        <w:t>ha</w:t>
      </w:r>
      <w:r w:rsidR="004B02F0" w:rsidRPr="00DA725A">
        <w:rPr>
          <w:rFonts w:ascii="Times New Roman" w:hAnsi="Times New Roman" w:cs="Times New Roman"/>
          <w:sz w:val="24"/>
          <w:szCs w:val="24"/>
        </w:rPr>
        <w:t xml:space="preserve"> molte potenzialità, però </w:t>
      </w:r>
      <w:r w:rsidR="00FD6C46">
        <w:rPr>
          <w:rFonts w:ascii="Times New Roman" w:hAnsi="Times New Roman" w:cs="Times New Roman"/>
          <w:sz w:val="24"/>
          <w:szCs w:val="24"/>
        </w:rPr>
        <w:t>appunto</w:t>
      </w:r>
      <w:r w:rsidR="004B02F0" w:rsidRPr="00DA725A">
        <w:rPr>
          <w:rFonts w:ascii="Times New Roman" w:hAnsi="Times New Roman" w:cs="Times New Roman"/>
          <w:sz w:val="24"/>
          <w:szCs w:val="24"/>
        </w:rPr>
        <w:t xml:space="preserve"> l’ultima delle quali quella di velocizzare i procedimenti), ha deciso anche nella materia dell’esecuzione forzata di fare ulteriori</w:t>
      </w:r>
      <w:r w:rsidR="00530EEE">
        <w:rPr>
          <w:rFonts w:ascii="Times New Roman" w:hAnsi="Times New Roman" w:cs="Times New Roman"/>
          <w:sz w:val="24"/>
          <w:szCs w:val="24"/>
        </w:rPr>
        <w:t xml:space="preserve"> decisivi</w:t>
      </w:r>
      <w:r w:rsidR="004B02F0" w:rsidRPr="00DA725A">
        <w:rPr>
          <w:rFonts w:ascii="Times New Roman" w:hAnsi="Times New Roman" w:cs="Times New Roman"/>
          <w:sz w:val="24"/>
          <w:szCs w:val="24"/>
        </w:rPr>
        <w:t xml:space="preserve"> passi</w:t>
      </w:r>
      <w:r w:rsidR="00A03057">
        <w:rPr>
          <w:rFonts w:ascii="Times New Roman" w:hAnsi="Times New Roman" w:cs="Times New Roman"/>
          <w:sz w:val="24"/>
          <w:szCs w:val="24"/>
        </w:rPr>
        <w:t xml:space="preserve"> sulla</w:t>
      </w:r>
      <w:r w:rsidR="00530EEE">
        <w:rPr>
          <w:rFonts w:ascii="Times New Roman" w:hAnsi="Times New Roman" w:cs="Times New Roman"/>
          <w:sz w:val="24"/>
          <w:szCs w:val="24"/>
        </w:rPr>
        <w:t xml:space="preserve"> via della</w:t>
      </w:r>
      <w:r w:rsidR="00A03057">
        <w:rPr>
          <w:rFonts w:ascii="Times New Roman" w:hAnsi="Times New Roman" w:cs="Times New Roman"/>
          <w:sz w:val="24"/>
          <w:szCs w:val="24"/>
        </w:rPr>
        <w:t xml:space="preserve"> telematizzazione</w:t>
      </w:r>
      <w:r w:rsidR="004B02F0" w:rsidRPr="00DA725A">
        <w:rPr>
          <w:rFonts w:ascii="Times New Roman" w:hAnsi="Times New Roman" w:cs="Times New Roman"/>
          <w:sz w:val="24"/>
          <w:szCs w:val="24"/>
        </w:rPr>
        <w:t>, imponendo</w:t>
      </w:r>
      <w:r w:rsidR="00A03057">
        <w:rPr>
          <w:rFonts w:ascii="Times New Roman" w:hAnsi="Times New Roman" w:cs="Times New Roman"/>
          <w:sz w:val="24"/>
          <w:szCs w:val="24"/>
        </w:rPr>
        <w:t>ne</w:t>
      </w:r>
      <w:r w:rsidR="004B02F0" w:rsidRPr="00DA725A">
        <w:rPr>
          <w:rFonts w:ascii="Times New Roman" w:hAnsi="Times New Roman" w:cs="Times New Roman"/>
          <w:sz w:val="24"/>
          <w:szCs w:val="24"/>
        </w:rPr>
        <w:t xml:space="preserve"> l’obbligatorietà per la vendita e per</w:t>
      </w:r>
      <w:r w:rsidR="00A03057">
        <w:rPr>
          <w:rFonts w:ascii="Times New Roman" w:hAnsi="Times New Roman" w:cs="Times New Roman"/>
          <w:sz w:val="24"/>
          <w:szCs w:val="24"/>
        </w:rPr>
        <w:t xml:space="preserve"> gli</w:t>
      </w:r>
      <w:r w:rsidR="004B02F0" w:rsidRPr="00DA725A">
        <w:rPr>
          <w:rFonts w:ascii="Times New Roman" w:hAnsi="Times New Roman" w:cs="Times New Roman"/>
          <w:sz w:val="24"/>
          <w:szCs w:val="24"/>
        </w:rPr>
        <w:t xml:space="preserve"> adempimenti  da parte degli offerenti.</w:t>
      </w:r>
    </w:p>
    <w:p w:rsidR="002420CA" w:rsidRPr="00DA725A" w:rsidRDefault="002420CA"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Ciò è avvenuto per quanto riguarda la vendita mobiliare,</w:t>
      </w:r>
      <w:r w:rsidR="00020265">
        <w:rPr>
          <w:rFonts w:ascii="Times New Roman" w:hAnsi="Times New Roman" w:cs="Times New Roman"/>
          <w:sz w:val="24"/>
          <w:szCs w:val="24"/>
        </w:rPr>
        <w:t xml:space="preserve"> tramite la modifica dell’</w:t>
      </w:r>
      <w:r w:rsidRPr="00DA725A">
        <w:rPr>
          <w:rFonts w:ascii="Times New Roman" w:hAnsi="Times New Roman" w:cs="Times New Roman"/>
          <w:sz w:val="24"/>
          <w:szCs w:val="24"/>
        </w:rPr>
        <w:t>art.530</w:t>
      </w:r>
      <w:r w:rsidR="00020265">
        <w:rPr>
          <w:rFonts w:ascii="Times New Roman" w:hAnsi="Times New Roman" w:cs="Times New Roman"/>
          <w:sz w:val="24"/>
          <w:szCs w:val="24"/>
        </w:rPr>
        <w:t xml:space="preserve">, </w:t>
      </w:r>
      <w:r w:rsidR="00A03057">
        <w:rPr>
          <w:rFonts w:ascii="Times New Roman" w:hAnsi="Times New Roman" w:cs="Times New Roman"/>
          <w:sz w:val="24"/>
          <w:szCs w:val="24"/>
        </w:rPr>
        <w:t>6</w:t>
      </w:r>
      <w:r w:rsidR="00020265">
        <w:rPr>
          <w:rFonts w:ascii="Times New Roman" w:hAnsi="Times New Roman" w:cs="Times New Roman"/>
          <w:sz w:val="24"/>
          <w:szCs w:val="24"/>
        </w:rPr>
        <w:t>° co.,</w:t>
      </w:r>
      <w:r w:rsidRPr="00DA725A">
        <w:rPr>
          <w:rFonts w:ascii="Times New Roman" w:hAnsi="Times New Roman" w:cs="Times New Roman"/>
          <w:sz w:val="24"/>
          <w:szCs w:val="24"/>
        </w:rPr>
        <w:t xml:space="preserve"> </w:t>
      </w:r>
      <w:proofErr w:type="spellStart"/>
      <w:r w:rsidRPr="00DA725A">
        <w:rPr>
          <w:rFonts w:ascii="Times New Roman" w:hAnsi="Times New Roman" w:cs="Times New Roman"/>
          <w:sz w:val="24"/>
          <w:szCs w:val="24"/>
        </w:rPr>
        <w:t>cpc</w:t>
      </w:r>
      <w:proofErr w:type="spellEnd"/>
      <w:r w:rsidRPr="00DA725A">
        <w:rPr>
          <w:rFonts w:ascii="Times New Roman" w:hAnsi="Times New Roman" w:cs="Times New Roman"/>
          <w:sz w:val="24"/>
          <w:szCs w:val="24"/>
        </w:rPr>
        <w:t xml:space="preserve">, con il </w:t>
      </w:r>
      <w:proofErr w:type="spellStart"/>
      <w:r w:rsidRPr="00DA725A">
        <w:rPr>
          <w:rFonts w:ascii="Times New Roman" w:hAnsi="Times New Roman" w:cs="Times New Roman"/>
          <w:sz w:val="24"/>
          <w:szCs w:val="24"/>
        </w:rPr>
        <w:t>d.l.</w:t>
      </w:r>
      <w:proofErr w:type="spellEnd"/>
      <w:r w:rsidRPr="00DA725A">
        <w:rPr>
          <w:rFonts w:ascii="Times New Roman" w:hAnsi="Times New Roman" w:cs="Times New Roman"/>
          <w:sz w:val="24"/>
          <w:szCs w:val="24"/>
        </w:rPr>
        <w:t xml:space="preserve"> n.90 del 2014, convertito con la l. 114 del 2014, mentre per quanto riguarda la vendita immobiliare con il </w:t>
      </w:r>
      <w:proofErr w:type="spellStart"/>
      <w:r w:rsidRPr="00DA725A">
        <w:rPr>
          <w:rFonts w:ascii="Times New Roman" w:hAnsi="Times New Roman" w:cs="Times New Roman"/>
          <w:sz w:val="24"/>
          <w:szCs w:val="24"/>
        </w:rPr>
        <w:t>d.l.</w:t>
      </w:r>
      <w:proofErr w:type="spellEnd"/>
      <w:r w:rsidRPr="00DA725A">
        <w:rPr>
          <w:rFonts w:ascii="Times New Roman" w:hAnsi="Times New Roman" w:cs="Times New Roman"/>
          <w:sz w:val="24"/>
          <w:szCs w:val="24"/>
        </w:rPr>
        <w:t xml:space="preserve"> n.59 del 2016, convertito con legge n. 119/2016</w:t>
      </w:r>
      <w:r w:rsidR="00B3145E">
        <w:rPr>
          <w:rFonts w:ascii="Times New Roman" w:hAnsi="Times New Roman" w:cs="Times New Roman"/>
          <w:sz w:val="24"/>
          <w:szCs w:val="24"/>
        </w:rPr>
        <w:t xml:space="preserve">, che ha modificato l’art.569, 4° co., </w:t>
      </w:r>
      <w:proofErr w:type="spellStart"/>
      <w:r w:rsidR="00B3145E">
        <w:rPr>
          <w:rFonts w:ascii="Times New Roman" w:hAnsi="Times New Roman" w:cs="Times New Roman"/>
          <w:sz w:val="24"/>
          <w:szCs w:val="24"/>
        </w:rPr>
        <w:t>cpc</w:t>
      </w:r>
      <w:proofErr w:type="spellEnd"/>
      <w:r w:rsidRPr="00DA725A">
        <w:rPr>
          <w:rFonts w:ascii="Times New Roman" w:hAnsi="Times New Roman" w:cs="Times New Roman"/>
          <w:sz w:val="24"/>
          <w:szCs w:val="24"/>
        </w:rPr>
        <w:t>.</w:t>
      </w:r>
    </w:p>
    <w:p w:rsidR="006422BB" w:rsidRPr="00DA725A" w:rsidRDefault="00A03057"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L’o</w:t>
      </w:r>
      <w:r w:rsidR="002420CA" w:rsidRPr="00DA725A">
        <w:rPr>
          <w:rFonts w:ascii="Times New Roman" w:hAnsi="Times New Roman" w:cs="Times New Roman"/>
          <w:sz w:val="24"/>
          <w:szCs w:val="24"/>
        </w:rPr>
        <w:t xml:space="preserve">bbligatorietà </w:t>
      </w:r>
      <w:r>
        <w:rPr>
          <w:rFonts w:ascii="Times New Roman" w:hAnsi="Times New Roman" w:cs="Times New Roman"/>
          <w:sz w:val="24"/>
          <w:szCs w:val="24"/>
        </w:rPr>
        <w:t>in parola è</w:t>
      </w:r>
      <w:r w:rsidR="002420CA" w:rsidRPr="00DA725A">
        <w:rPr>
          <w:rFonts w:ascii="Times New Roman" w:hAnsi="Times New Roman" w:cs="Times New Roman"/>
          <w:sz w:val="24"/>
          <w:szCs w:val="24"/>
        </w:rPr>
        <w:t xml:space="preserve"> solo mitigat</w:t>
      </w:r>
      <w:r w:rsidR="00FD6C46">
        <w:rPr>
          <w:rFonts w:ascii="Times New Roman" w:hAnsi="Times New Roman" w:cs="Times New Roman"/>
          <w:sz w:val="24"/>
          <w:szCs w:val="24"/>
        </w:rPr>
        <w:t>a</w:t>
      </w:r>
      <w:r w:rsidR="002420CA" w:rsidRPr="00DA725A">
        <w:rPr>
          <w:rFonts w:ascii="Times New Roman" w:hAnsi="Times New Roman" w:cs="Times New Roman"/>
          <w:sz w:val="24"/>
          <w:szCs w:val="24"/>
        </w:rPr>
        <w:t xml:space="preserve"> da una clausola di salvezza secondo cui a</w:t>
      </w:r>
      <w:r w:rsidR="00FD6C46">
        <w:rPr>
          <w:rFonts w:ascii="Times New Roman" w:hAnsi="Times New Roman" w:cs="Times New Roman"/>
          <w:sz w:val="24"/>
          <w:szCs w:val="24"/>
        </w:rPr>
        <w:t xml:space="preserve"> tale strumento</w:t>
      </w:r>
      <w:r w:rsidR="002420CA" w:rsidRPr="00DA725A">
        <w:rPr>
          <w:rFonts w:ascii="Times New Roman" w:hAnsi="Times New Roman" w:cs="Times New Roman"/>
          <w:sz w:val="24"/>
          <w:szCs w:val="24"/>
        </w:rPr>
        <w:t xml:space="preserve"> non si deve ricorrere </w:t>
      </w:r>
      <w:r w:rsidR="006422BB" w:rsidRPr="00DA725A">
        <w:rPr>
          <w:rFonts w:ascii="Times New Roman" w:hAnsi="Times New Roman" w:cs="Times New Roman"/>
          <w:sz w:val="24"/>
          <w:szCs w:val="24"/>
        </w:rPr>
        <w:t xml:space="preserve">ove </w:t>
      </w:r>
      <w:r w:rsidR="00F847E4" w:rsidRPr="00DA725A">
        <w:rPr>
          <w:rFonts w:ascii="Times New Roman" w:hAnsi="Times New Roman" w:cs="Times New Roman"/>
          <w:sz w:val="24"/>
          <w:szCs w:val="24"/>
        </w:rPr>
        <w:t>ciò sia «pregiudizievole per gli interessi dei creditori o per il sollecito svolgimento della procedura»</w:t>
      </w:r>
      <w:r w:rsidR="006422BB" w:rsidRPr="00DA725A">
        <w:rPr>
          <w:rFonts w:ascii="Times New Roman" w:hAnsi="Times New Roman" w:cs="Times New Roman"/>
          <w:sz w:val="24"/>
          <w:szCs w:val="24"/>
        </w:rPr>
        <w:t>.</w:t>
      </w:r>
    </w:p>
    <w:p w:rsidR="00F847E4" w:rsidRPr="00DA725A" w:rsidRDefault="00F847E4"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 </w:t>
      </w:r>
      <w:r w:rsidR="006422BB" w:rsidRPr="00DA725A">
        <w:rPr>
          <w:rFonts w:ascii="Times New Roman" w:hAnsi="Times New Roman" w:cs="Times New Roman"/>
          <w:sz w:val="24"/>
          <w:szCs w:val="24"/>
        </w:rPr>
        <w:t xml:space="preserve">La disciplina di dettaglio della vendita telematica, </w:t>
      </w:r>
      <w:r w:rsidR="00F774F3">
        <w:rPr>
          <w:rFonts w:ascii="Times New Roman" w:hAnsi="Times New Roman" w:cs="Times New Roman"/>
          <w:sz w:val="24"/>
          <w:szCs w:val="24"/>
        </w:rPr>
        <w:t>introdotta quando ancora quest’ultima era (almeno quella immobiliare)</w:t>
      </w:r>
      <w:r w:rsidR="006422BB" w:rsidRPr="00DA725A">
        <w:rPr>
          <w:rFonts w:ascii="Times New Roman" w:hAnsi="Times New Roman" w:cs="Times New Roman"/>
          <w:sz w:val="24"/>
          <w:szCs w:val="24"/>
        </w:rPr>
        <w:t xml:space="preserve"> facoltativa, è poi rimessa alle disposizioni di attuazione, ed in particolare all’art.161 </w:t>
      </w:r>
      <w:r w:rsidR="006422BB" w:rsidRPr="00B3145E">
        <w:rPr>
          <w:rFonts w:ascii="Times New Roman" w:hAnsi="Times New Roman" w:cs="Times New Roman"/>
          <w:i/>
          <w:sz w:val="24"/>
          <w:szCs w:val="24"/>
        </w:rPr>
        <w:t>ter</w:t>
      </w:r>
      <w:r w:rsidR="006422BB" w:rsidRPr="00DA725A">
        <w:rPr>
          <w:rFonts w:ascii="Times New Roman" w:hAnsi="Times New Roman" w:cs="Times New Roman"/>
          <w:sz w:val="24"/>
          <w:szCs w:val="24"/>
        </w:rPr>
        <w:t xml:space="preserve"> delle stesse. </w:t>
      </w:r>
      <w:r w:rsidR="00B3145E">
        <w:rPr>
          <w:rFonts w:ascii="Times New Roman" w:hAnsi="Times New Roman" w:cs="Times New Roman"/>
          <w:sz w:val="24"/>
          <w:szCs w:val="24"/>
        </w:rPr>
        <w:t xml:space="preserve">Disposizione </w:t>
      </w:r>
      <w:r w:rsidR="006422BB" w:rsidRPr="00DA725A">
        <w:rPr>
          <w:rFonts w:ascii="Times New Roman" w:hAnsi="Times New Roman" w:cs="Times New Roman"/>
          <w:sz w:val="24"/>
          <w:szCs w:val="24"/>
        </w:rPr>
        <w:t xml:space="preserve">che però a sua volta non fa che operare un rinvio puro e semplice alla normativa secondaria, ed in particolare ad un decreto del Ministro della </w:t>
      </w:r>
      <w:r w:rsidR="006422BB" w:rsidRPr="00DA725A">
        <w:rPr>
          <w:rFonts w:ascii="Times New Roman" w:hAnsi="Times New Roman" w:cs="Times New Roman"/>
          <w:sz w:val="24"/>
          <w:szCs w:val="24"/>
        </w:rPr>
        <w:lastRenderedPageBreak/>
        <w:t xml:space="preserve">Giustizia che dovrebbe dettare le regole “tecnico-operative” per lo svolgimento della vendita in parola, </w:t>
      </w:r>
      <w:r w:rsidR="00A03057">
        <w:rPr>
          <w:rFonts w:ascii="Times New Roman" w:hAnsi="Times New Roman" w:cs="Times New Roman"/>
          <w:sz w:val="24"/>
          <w:szCs w:val="24"/>
        </w:rPr>
        <w:t xml:space="preserve">limitandosi ad imporre che ciò avvenga </w:t>
      </w:r>
      <w:r w:rsidR="006422BB" w:rsidRPr="00DA725A">
        <w:rPr>
          <w:rFonts w:ascii="Times New Roman" w:hAnsi="Times New Roman" w:cs="Times New Roman"/>
          <w:sz w:val="24"/>
          <w:szCs w:val="24"/>
        </w:rPr>
        <w:t>nel “rispetto” dei principi</w:t>
      </w:r>
      <w:r w:rsidR="00A03057">
        <w:rPr>
          <w:rFonts w:ascii="Times New Roman" w:hAnsi="Times New Roman" w:cs="Times New Roman"/>
          <w:sz w:val="24"/>
          <w:szCs w:val="24"/>
        </w:rPr>
        <w:t xml:space="preserve"> </w:t>
      </w:r>
      <w:r w:rsidR="006422BB" w:rsidRPr="00DA725A">
        <w:rPr>
          <w:rFonts w:ascii="Times New Roman" w:hAnsi="Times New Roman" w:cs="Times New Roman"/>
          <w:sz w:val="24"/>
          <w:szCs w:val="24"/>
        </w:rPr>
        <w:t>di competitività, trasparenza, semplificazione, efficacia, sicurezza, esattezza e regol</w:t>
      </w:r>
      <w:r w:rsidR="00B3145E">
        <w:rPr>
          <w:rFonts w:ascii="Times New Roman" w:hAnsi="Times New Roman" w:cs="Times New Roman"/>
          <w:sz w:val="24"/>
          <w:szCs w:val="24"/>
        </w:rPr>
        <w:t>a</w:t>
      </w:r>
      <w:r w:rsidR="006422BB" w:rsidRPr="00DA725A">
        <w:rPr>
          <w:rFonts w:ascii="Times New Roman" w:hAnsi="Times New Roman" w:cs="Times New Roman"/>
          <w:sz w:val="24"/>
          <w:szCs w:val="24"/>
        </w:rPr>
        <w:t>rità delle procedure telematiche</w:t>
      </w:r>
      <w:r w:rsidR="0042190F" w:rsidRPr="00DA725A">
        <w:rPr>
          <w:rFonts w:ascii="Times New Roman" w:hAnsi="Times New Roman" w:cs="Times New Roman"/>
          <w:sz w:val="24"/>
          <w:szCs w:val="24"/>
        </w:rPr>
        <w:t>.</w:t>
      </w:r>
    </w:p>
    <w:p w:rsidR="006422BB" w:rsidRPr="00DA725A" w:rsidRDefault="004B44DD"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Le</w:t>
      </w:r>
      <w:r w:rsidR="006422BB" w:rsidRPr="00DA725A">
        <w:rPr>
          <w:rFonts w:ascii="Times New Roman" w:hAnsi="Times New Roman" w:cs="Times New Roman"/>
          <w:sz w:val="24"/>
          <w:szCs w:val="24"/>
        </w:rPr>
        <w:t xml:space="preserve"> critiche che sono state mosse a tale </w:t>
      </w:r>
      <w:r w:rsidR="00B3145E">
        <w:rPr>
          <w:rFonts w:ascii="Times New Roman" w:hAnsi="Times New Roman" w:cs="Times New Roman"/>
          <w:sz w:val="24"/>
          <w:szCs w:val="24"/>
        </w:rPr>
        <w:t>disposizione</w:t>
      </w:r>
      <w:r w:rsidRPr="00DA725A">
        <w:rPr>
          <w:rFonts w:ascii="Times New Roman" w:hAnsi="Times New Roman" w:cs="Times New Roman"/>
          <w:sz w:val="24"/>
          <w:szCs w:val="24"/>
        </w:rPr>
        <w:t xml:space="preserve"> sono essenzialmente legate al fatto che essa </w:t>
      </w:r>
      <w:r w:rsidR="006422BB" w:rsidRPr="00DA725A">
        <w:rPr>
          <w:rFonts w:ascii="Times New Roman" w:hAnsi="Times New Roman" w:cs="Times New Roman"/>
          <w:sz w:val="24"/>
          <w:szCs w:val="24"/>
        </w:rPr>
        <w:t>rinvia</w:t>
      </w:r>
      <w:r w:rsidRPr="00DA725A">
        <w:rPr>
          <w:rFonts w:ascii="Times New Roman" w:hAnsi="Times New Roman" w:cs="Times New Roman"/>
          <w:sz w:val="24"/>
          <w:szCs w:val="24"/>
        </w:rPr>
        <w:t xml:space="preserve"> </w:t>
      </w:r>
      <w:r w:rsidR="006422BB" w:rsidRPr="00DA725A">
        <w:rPr>
          <w:rFonts w:ascii="Times New Roman" w:hAnsi="Times New Roman" w:cs="Times New Roman"/>
          <w:sz w:val="24"/>
          <w:szCs w:val="24"/>
        </w:rPr>
        <w:t xml:space="preserve">in realtà alla normativa ministeriale </w:t>
      </w:r>
      <w:r w:rsidRPr="00DA725A">
        <w:rPr>
          <w:rFonts w:ascii="Times New Roman" w:hAnsi="Times New Roman" w:cs="Times New Roman"/>
          <w:sz w:val="24"/>
          <w:szCs w:val="24"/>
        </w:rPr>
        <w:t>qualcosa di più di semplici regole “tecnico-operative”, e cioè tutto il contenuto delle modalità della gara (oltre che dei succitati adempimenti dell’offerente)</w:t>
      </w:r>
      <w:r w:rsidR="00FD6C46">
        <w:rPr>
          <w:rFonts w:ascii="Times New Roman" w:hAnsi="Times New Roman" w:cs="Times New Roman"/>
          <w:sz w:val="24"/>
          <w:szCs w:val="24"/>
        </w:rPr>
        <w:t xml:space="preserve">, e pertanto una disciplina di </w:t>
      </w:r>
      <w:r w:rsidR="00B3145E">
        <w:rPr>
          <w:rFonts w:ascii="Times New Roman" w:hAnsi="Times New Roman" w:cs="Times New Roman"/>
          <w:sz w:val="24"/>
          <w:szCs w:val="24"/>
        </w:rPr>
        <w:t>natura</w:t>
      </w:r>
      <w:r w:rsidR="00FD6C46">
        <w:rPr>
          <w:rFonts w:ascii="Times New Roman" w:hAnsi="Times New Roman" w:cs="Times New Roman"/>
          <w:sz w:val="24"/>
          <w:szCs w:val="24"/>
        </w:rPr>
        <w:t xml:space="preserve"> processuale</w:t>
      </w:r>
      <w:r w:rsidR="00A501EA" w:rsidRPr="00DA725A">
        <w:rPr>
          <w:rFonts w:ascii="Times New Roman" w:hAnsi="Times New Roman" w:cs="Times New Roman"/>
          <w:sz w:val="24"/>
          <w:szCs w:val="24"/>
        </w:rPr>
        <w:t>.</w:t>
      </w:r>
      <w:r w:rsidR="00FD6C46">
        <w:rPr>
          <w:rFonts w:ascii="Times New Roman" w:hAnsi="Times New Roman" w:cs="Times New Roman"/>
          <w:sz w:val="24"/>
          <w:szCs w:val="24"/>
        </w:rPr>
        <w:t xml:space="preserve"> </w:t>
      </w:r>
      <w:r w:rsidR="00A501EA" w:rsidRPr="00DA725A">
        <w:rPr>
          <w:rFonts w:ascii="Times New Roman" w:hAnsi="Times New Roman" w:cs="Times New Roman"/>
          <w:sz w:val="24"/>
          <w:szCs w:val="24"/>
        </w:rPr>
        <w:t xml:space="preserve">A </w:t>
      </w:r>
      <w:r w:rsidR="003157D6">
        <w:rPr>
          <w:rFonts w:ascii="Times New Roman" w:hAnsi="Times New Roman" w:cs="Times New Roman"/>
          <w:sz w:val="24"/>
          <w:szCs w:val="24"/>
        </w:rPr>
        <w:t>ciò</w:t>
      </w:r>
      <w:r w:rsidR="00A501EA" w:rsidRPr="00DA725A">
        <w:rPr>
          <w:rFonts w:ascii="Times New Roman" w:hAnsi="Times New Roman" w:cs="Times New Roman"/>
          <w:sz w:val="24"/>
          <w:szCs w:val="24"/>
        </w:rPr>
        <w:t xml:space="preserve"> non può certo ovviarsi</w:t>
      </w:r>
      <w:r w:rsidR="00FD6C46">
        <w:rPr>
          <w:rFonts w:ascii="Times New Roman" w:hAnsi="Times New Roman" w:cs="Times New Roman"/>
          <w:sz w:val="24"/>
          <w:szCs w:val="24"/>
        </w:rPr>
        <w:t xml:space="preserve"> neppure in materia di vendita mobiliare</w:t>
      </w:r>
      <w:r w:rsidR="00A501EA" w:rsidRPr="00DA725A">
        <w:rPr>
          <w:rFonts w:ascii="Times New Roman" w:hAnsi="Times New Roman" w:cs="Times New Roman"/>
          <w:sz w:val="24"/>
          <w:szCs w:val="24"/>
        </w:rPr>
        <w:t xml:space="preserve"> richiamandosi al fatto che il solo art.569 </w:t>
      </w:r>
      <w:proofErr w:type="spellStart"/>
      <w:r w:rsidR="00A501EA" w:rsidRPr="00DA725A">
        <w:rPr>
          <w:rFonts w:ascii="Times New Roman" w:hAnsi="Times New Roman" w:cs="Times New Roman"/>
          <w:sz w:val="24"/>
          <w:szCs w:val="24"/>
        </w:rPr>
        <w:t>cpc</w:t>
      </w:r>
      <w:proofErr w:type="spellEnd"/>
      <w:r w:rsidR="00A501EA" w:rsidRPr="00DA725A">
        <w:rPr>
          <w:rFonts w:ascii="Times New Roman" w:hAnsi="Times New Roman" w:cs="Times New Roman"/>
          <w:sz w:val="24"/>
          <w:szCs w:val="24"/>
        </w:rPr>
        <w:t xml:space="preserve">  rinvia alla disposizione di attuazione, perché invece quest’ultima esplicitamente si riferisce sia alle vendite immobiliari che a quelle mobiliari.</w:t>
      </w:r>
    </w:p>
    <w:p w:rsidR="0042190F" w:rsidRPr="00DA725A" w:rsidRDefault="0042190F"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E’ vero che al potere esecutivo deve senz’altro riconoscersi una potestà normativa pur di secondo grado, che si esprime tradizionalmente attravers</w:t>
      </w:r>
      <w:r w:rsidR="00FD6C46">
        <w:rPr>
          <w:rFonts w:ascii="Times New Roman" w:hAnsi="Times New Roman" w:cs="Times New Roman"/>
          <w:sz w:val="24"/>
          <w:szCs w:val="24"/>
        </w:rPr>
        <w:t>o</w:t>
      </w:r>
      <w:r w:rsidRPr="00DA725A">
        <w:rPr>
          <w:rFonts w:ascii="Times New Roman" w:hAnsi="Times New Roman" w:cs="Times New Roman"/>
          <w:sz w:val="24"/>
          <w:szCs w:val="24"/>
        </w:rPr>
        <w:t xml:space="preserve"> i regolamenti, atti formalmente amministrativi ma sostanzialmente appunto normativi, ma deve ritenersi che ciò non sia proprio ove  si faccia ricorso a tale strumento per</w:t>
      </w:r>
      <w:r w:rsidR="00530EEE">
        <w:rPr>
          <w:rFonts w:ascii="Times New Roman" w:hAnsi="Times New Roman" w:cs="Times New Roman"/>
          <w:sz w:val="24"/>
          <w:szCs w:val="24"/>
        </w:rPr>
        <w:t xml:space="preserve"> dare</w:t>
      </w:r>
      <w:r w:rsidR="00F774F3">
        <w:rPr>
          <w:rFonts w:ascii="Times New Roman" w:hAnsi="Times New Roman" w:cs="Times New Roman"/>
          <w:sz w:val="24"/>
          <w:szCs w:val="24"/>
        </w:rPr>
        <w:t xml:space="preserve"> vita di fatto</w:t>
      </w:r>
      <w:r w:rsidR="00A03057">
        <w:rPr>
          <w:rFonts w:ascii="Times New Roman" w:hAnsi="Times New Roman" w:cs="Times New Roman"/>
          <w:sz w:val="24"/>
          <w:szCs w:val="24"/>
        </w:rPr>
        <w:t xml:space="preserve"> (in questo caso)</w:t>
      </w:r>
      <w:r w:rsidR="00F774F3">
        <w:rPr>
          <w:rFonts w:ascii="Times New Roman" w:hAnsi="Times New Roman" w:cs="Times New Roman"/>
          <w:sz w:val="24"/>
          <w:szCs w:val="24"/>
        </w:rPr>
        <w:t xml:space="preserve"> </w:t>
      </w:r>
      <w:r w:rsidR="003157D6">
        <w:rPr>
          <w:rFonts w:ascii="Times New Roman" w:hAnsi="Times New Roman" w:cs="Times New Roman"/>
          <w:sz w:val="24"/>
          <w:szCs w:val="24"/>
        </w:rPr>
        <w:t xml:space="preserve">anche </w:t>
      </w:r>
      <w:r w:rsidR="00F774F3">
        <w:rPr>
          <w:rFonts w:ascii="Times New Roman" w:hAnsi="Times New Roman" w:cs="Times New Roman"/>
          <w:sz w:val="24"/>
          <w:szCs w:val="24"/>
        </w:rPr>
        <w:t xml:space="preserve">a norme </w:t>
      </w:r>
      <w:r w:rsidR="003157D6">
        <w:rPr>
          <w:rFonts w:ascii="Times New Roman" w:hAnsi="Times New Roman" w:cs="Times New Roman"/>
          <w:sz w:val="24"/>
          <w:szCs w:val="24"/>
        </w:rPr>
        <w:t xml:space="preserve">di contenuto </w:t>
      </w:r>
      <w:r w:rsidR="00F774F3">
        <w:rPr>
          <w:rFonts w:ascii="Times New Roman" w:hAnsi="Times New Roman" w:cs="Times New Roman"/>
          <w:sz w:val="24"/>
          <w:szCs w:val="24"/>
        </w:rPr>
        <w:t>processual</w:t>
      </w:r>
      <w:r w:rsidR="003157D6">
        <w:rPr>
          <w:rFonts w:ascii="Times New Roman" w:hAnsi="Times New Roman" w:cs="Times New Roman"/>
          <w:sz w:val="24"/>
          <w:szCs w:val="24"/>
        </w:rPr>
        <w:t>e</w:t>
      </w:r>
      <w:r w:rsidRPr="00B3145E">
        <w:rPr>
          <w:rFonts w:ascii="Times New Roman" w:hAnsi="Times New Roman" w:cs="Times New Roman"/>
          <w:b/>
          <w:sz w:val="24"/>
          <w:szCs w:val="24"/>
        </w:rPr>
        <w:t>,</w:t>
      </w:r>
      <w:r w:rsidRPr="00DA725A">
        <w:rPr>
          <w:rFonts w:ascii="Times New Roman" w:hAnsi="Times New Roman" w:cs="Times New Roman"/>
          <w:sz w:val="24"/>
          <w:szCs w:val="24"/>
        </w:rPr>
        <w:t xml:space="preserve"> il che</w:t>
      </w:r>
      <w:r w:rsidR="003157D6">
        <w:rPr>
          <w:rFonts w:ascii="Times New Roman" w:hAnsi="Times New Roman" w:cs="Times New Roman"/>
          <w:sz w:val="24"/>
          <w:szCs w:val="24"/>
        </w:rPr>
        <w:t xml:space="preserve"> lambisce </w:t>
      </w:r>
      <w:r w:rsidR="001E0FDA">
        <w:rPr>
          <w:rFonts w:ascii="Times New Roman" w:hAnsi="Times New Roman" w:cs="Times New Roman"/>
          <w:sz w:val="24"/>
          <w:szCs w:val="24"/>
        </w:rPr>
        <w:t>la riserva di legge di cui a</w:t>
      </w:r>
      <w:r w:rsidRPr="00DA725A">
        <w:rPr>
          <w:rFonts w:ascii="Times New Roman" w:hAnsi="Times New Roman" w:cs="Times New Roman"/>
          <w:sz w:val="24"/>
          <w:szCs w:val="24"/>
        </w:rPr>
        <w:t>ll’art.111</w:t>
      </w:r>
      <w:r w:rsidR="001E0FDA">
        <w:rPr>
          <w:rFonts w:ascii="Times New Roman" w:hAnsi="Times New Roman" w:cs="Times New Roman"/>
          <w:sz w:val="24"/>
          <w:szCs w:val="24"/>
        </w:rPr>
        <w:t>, 1° co.,</w:t>
      </w:r>
      <w:r w:rsidRPr="00DA725A">
        <w:rPr>
          <w:rFonts w:ascii="Times New Roman" w:hAnsi="Times New Roman" w:cs="Times New Roman"/>
          <w:sz w:val="24"/>
          <w:szCs w:val="24"/>
        </w:rPr>
        <w:t xml:space="preserve"> </w:t>
      </w:r>
      <w:proofErr w:type="spellStart"/>
      <w:r w:rsidR="001E0FDA">
        <w:rPr>
          <w:rFonts w:ascii="Times New Roman" w:hAnsi="Times New Roman" w:cs="Times New Roman"/>
          <w:sz w:val="24"/>
          <w:szCs w:val="24"/>
        </w:rPr>
        <w:t>C</w:t>
      </w:r>
      <w:r w:rsidRPr="00DA725A">
        <w:rPr>
          <w:rFonts w:ascii="Times New Roman" w:hAnsi="Times New Roman" w:cs="Times New Roman"/>
          <w:sz w:val="24"/>
          <w:szCs w:val="24"/>
        </w:rPr>
        <w:t>ost</w:t>
      </w:r>
      <w:proofErr w:type="spellEnd"/>
      <w:r w:rsidRPr="00DA725A">
        <w:rPr>
          <w:rFonts w:ascii="Times New Roman" w:hAnsi="Times New Roman" w:cs="Times New Roman"/>
          <w:sz w:val="24"/>
          <w:szCs w:val="24"/>
        </w:rPr>
        <w:t>.</w:t>
      </w:r>
      <w:r w:rsidR="00530EEE">
        <w:rPr>
          <w:rFonts w:ascii="Times New Roman" w:hAnsi="Times New Roman" w:cs="Times New Roman"/>
          <w:sz w:val="24"/>
          <w:szCs w:val="24"/>
        </w:rPr>
        <w:t xml:space="preserve"> Ora il decreto</w:t>
      </w:r>
      <w:r w:rsidRPr="00DA725A">
        <w:rPr>
          <w:rFonts w:ascii="Times New Roman" w:hAnsi="Times New Roman" w:cs="Times New Roman"/>
          <w:sz w:val="24"/>
          <w:szCs w:val="24"/>
        </w:rPr>
        <w:t>, come è stato sottolineato</w:t>
      </w:r>
      <w:r w:rsidR="00530EEE">
        <w:rPr>
          <w:rFonts w:ascii="Times New Roman" w:hAnsi="Times New Roman" w:cs="Times New Roman"/>
          <w:sz w:val="24"/>
          <w:szCs w:val="24"/>
        </w:rPr>
        <w:t>,</w:t>
      </w:r>
      <w:r w:rsidR="003157D6">
        <w:rPr>
          <w:rFonts w:ascii="Times New Roman" w:hAnsi="Times New Roman" w:cs="Times New Roman"/>
          <w:sz w:val="24"/>
          <w:szCs w:val="24"/>
        </w:rPr>
        <w:t xml:space="preserve"> </w:t>
      </w:r>
      <w:r w:rsidR="00062AC2">
        <w:rPr>
          <w:rFonts w:ascii="Times New Roman" w:hAnsi="Times New Roman" w:cs="Times New Roman"/>
          <w:sz w:val="24"/>
          <w:szCs w:val="24"/>
        </w:rPr>
        <w:t>ha un contenuto che in alcuni casi pare andare oltre le</w:t>
      </w:r>
      <w:r w:rsidRPr="00DA725A">
        <w:rPr>
          <w:rFonts w:ascii="Times New Roman" w:hAnsi="Times New Roman" w:cs="Times New Roman"/>
          <w:sz w:val="24"/>
          <w:szCs w:val="24"/>
        </w:rPr>
        <w:t xml:space="preserve"> regol</w:t>
      </w:r>
      <w:r w:rsidR="00062AC2">
        <w:rPr>
          <w:rFonts w:ascii="Times New Roman" w:hAnsi="Times New Roman" w:cs="Times New Roman"/>
          <w:sz w:val="24"/>
          <w:szCs w:val="24"/>
        </w:rPr>
        <w:t>e</w:t>
      </w:r>
      <w:r w:rsidRPr="00DA725A">
        <w:rPr>
          <w:rFonts w:ascii="Times New Roman" w:hAnsi="Times New Roman" w:cs="Times New Roman"/>
          <w:sz w:val="24"/>
          <w:szCs w:val="24"/>
        </w:rPr>
        <w:t xml:space="preserve"> tecnic</w:t>
      </w:r>
      <w:r w:rsidR="00062AC2">
        <w:rPr>
          <w:rFonts w:ascii="Times New Roman" w:hAnsi="Times New Roman" w:cs="Times New Roman"/>
          <w:sz w:val="24"/>
          <w:szCs w:val="24"/>
        </w:rPr>
        <w:t xml:space="preserve">he cui allude </w:t>
      </w:r>
      <w:r w:rsidRPr="00DA725A">
        <w:rPr>
          <w:rFonts w:ascii="Times New Roman" w:hAnsi="Times New Roman" w:cs="Times New Roman"/>
          <w:sz w:val="24"/>
          <w:szCs w:val="24"/>
        </w:rPr>
        <w:t xml:space="preserve">l’art.161 </w:t>
      </w:r>
      <w:r w:rsidRPr="001E0FDA">
        <w:rPr>
          <w:rFonts w:ascii="Times New Roman" w:hAnsi="Times New Roman" w:cs="Times New Roman"/>
          <w:i/>
          <w:sz w:val="24"/>
          <w:szCs w:val="24"/>
        </w:rPr>
        <w:t>ter</w:t>
      </w:r>
      <w:r w:rsidR="00B3145E">
        <w:rPr>
          <w:rFonts w:ascii="Times New Roman" w:hAnsi="Times New Roman" w:cs="Times New Roman"/>
          <w:sz w:val="24"/>
          <w:szCs w:val="24"/>
        </w:rPr>
        <w:t xml:space="preserve"> </w:t>
      </w:r>
      <w:proofErr w:type="spellStart"/>
      <w:r w:rsidR="00B3145E">
        <w:rPr>
          <w:rFonts w:ascii="Times New Roman" w:hAnsi="Times New Roman" w:cs="Times New Roman"/>
          <w:sz w:val="24"/>
          <w:szCs w:val="24"/>
        </w:rPr>
        <w:t>disp</w:t>
      </w:r>
      <w:proofErr w:type="spellEnd"/>
      <w:r w:rsidR="00B3145E">
        <w:rPr>
          <w:rFonts w:ascii="Times New Roman" w:hAnsi="Times New Roman" w:cs="Times New Roman"/>
          <w:sz w:val="24"/>
          <w:szCs w:val="24"/>
        </w:rPr>
        <w:t xml:space="preserve">. </w:t>
      </w:r>
      <w:proofErr w:type="spellStart"/>
      <w:r w:rsidR="00B3145E">
        <w:rPr>
          <w:rFonts w:ascii="Times New Roman" w:hAnsi="Times New Roman" w:cs="Times New Roman"/>
          <w:sz w:val="24"/>
          <w:szCs w:val="24"/>
        </w:rPr>
        <w:t>att</w:t>
      </w:r>
      <w:proofErr w:type="spellEnd"/>
      <w:r w:rsidR="00B3145E">
        <w:rPr>
          <w:rFonts w:ascii="Times New Roman" w:hAnsi="Times New Roman" w:cs="Times New Roman"/>
          <w:sz w:val="24"/>
          <w:szCs w:val="24"/>
        </w:rPr>
        <w:t xml:space="preserve">. </w:t>
      </w:r>
      <w:proofErr w:type="spellStart"/>
      <w:r w:rsidR="00B3145E">
        <w:rPr>
          <w:rFonts w:ascii="Times New Roman" w:hAnsi="Times New Roman" w:cs="Times New Roman"/>
          <w:sz w:val="24"/>
          <w:szCs w:val="24"/>
        </w:rPr>
        <w:t>cpc</w:t>
      </w:r>
      <w:proofErr w:type="spellEnd"/>
      <w:r w:rsidR="00530EEE">
        <w:rPr>
          <w:rFonts w:ascii="Times New Roman" w:hAnsi="Times New Roman" w:cs="Times New Roman"/>
          <w:i/>
          <w:sz w:val="24"/>
          <w:szCs w:val="24"/>
        </w:rPr>
        <w:t xml:space="preserve">, </w:t>
      </w:r>
      <w:r w:rsidRPr="00DA725A">
        <w:rPr>
          <w:rFonts w:ascii="Times New Roman" w:hAnsi="Times New Roman" w:cs="Times New Roman"/>
          <w:sz w:val="24"/>
          <w:szCs w:val="24"/>
        </w:rPr>
        <w:t xml:space="preserve"> opera</w:t>
      </w:r>
      <w:r w:rsidR="00530EEE">
        <w:rPr>
          <w:rFonts w:ascii="Times New Roman" w:hAnsi="Times New Roman" w:cs="Times New Roman"/>
          <w:sz w:val="24"/>
          <w:szCs w:val="24"/>
        </w:rPr>
        <w:t>ndo</w:t>
      </w:r>
      <w:r w:rsidRPr="00DA725A">
        <w:rPr>
          <w:rFonts w:ascii="Times New Roman" w:hAnsi="Times New Roman" w:cs="Times New Roman"/>
          <w:sz w:val="24"/>
          <w:szCs w:val="24"/>
        </w:rPr>
        <w:t xml:space="preserve"> delle scelte</w:t>
      </w:r>
      <w:r w:rsidR="00530EEE">
        <w:rPr>
          <w:rFonts w:ascii="Times New Roman" w:hAnsi="Times New Roman" w:cs="Times New Roman"/>
          <w:sz w:val="24"/>
          <w:szCs w:val="24"/>
        </w:rPr>
        <w:t xml:space="preserve"> sulle regole</w:t>
      </w:r>
      <w:r w:rsidRPr="00DA725A">
        <w:rPr>
          <w:rFonts w:ascii="Times New Roman" w:hAnsi="Times New Roman" w:cs="Times New Roman"/>
          <w:sz w:val="24"/>
          <w:szCs w:val="24"/>
        </w:rPr>
        <w:t xml:space="preserve"> procedural</w:t>
      </w:r>
      <w:r w:rsidR="00530EEE">
        <w:rPr>
          <w:rFonts w:ascii="Times New Roman" w:hAnsi="Times New Roman" w:cs="Times New Roman"/>
          <w:sz w:val="24"/>
          <w:szCs w:val="24"/>
        </w:rPr>
        <w:t>i. Peraltro</w:t>
      </w:r>
      <w:r w:rsidR="00AB0144" w:rsidRPr="00DA725A">
        <w:rPr>
          <w:rFonts w:ascii="Times New Roman" w:hAnsi="Times New Roman" w:cs="Times New Roman"/>
          <w:sz w:val="24"/>
          <w:szCs w:val="24"/>
        </w:rPr>
        <w:t xml:space="preserve"> né la disposizione di attuazione né tantomeno quelle </w:t>
      </w:r>
      <w:proofErr w:type="spellStart"/>
      <w:r w:rsidR="00AB0144" w:rsidRPr="00DA725A">
        <w:rPr>
          <w:rFonts w:ascii="Times New Roman" w:hAnsi="Times New Roman" w:cs="Times New Roman"/>
          <w:sz w:val="24"/>
          <w:szCs w:val="24"/>
        </w:rPr>
        <w:t>codicistiche</w:t>
      </w:r>
      <w:proofErr w:type="spellEnd"/>
      <w:r w:rsidR="00AB0144" w:rsidRPr="00DA725A">
        <w:rPr>
          <w:rFonts w:ascii="Times New Roman" w:hAnsi="Times New Roman" w:cs="Times New Roman"/>
          <w:sz w:val="24"/>
          <w:szCs w:val="24"/>
        </w:rPr>
        <w:t xml:space="preserve"> si sono premurate di operare le stesse</w:t>
      </w:r>
      <w:r w:rsidR="00530EEE">
        <w:rPr>
          <w:rFonts w:ascii="Times New Roman" w:hAnsi="Times New Roman" w:cs="Times New Roman"/>
          <w:sz w:val="24"/>
          <w:szCs w:val="24"/>
        </w:rPr>
        <w:t>, e quindi allo stato il decreto ha di necessità effettuato delle scelte per rendere operativa la disciplina</w:t>
      </w:r>
      <w:r w:rsidR="00AB0144" w:rsidRPr="00DA725A">
        <w:rPr>
          <w:rFonts w:ascii="Times New Roman" w:hAnsi="Times New Roman" w:cs="Times New Roman"/>
          <w:sz w:val="24"/>
          <w:szCs w:val="24"/>
        </w:rPr>
        <w:t>.</w:t>
      </w:r>
    </w:p>
    <w:p w:rsidR="0042190F" w:rsidRDefault="0042190F"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E’ stato inoltre osservato che l</w:t>
      </w:r>
      <w:r w:rsidR="00530EEE">
        <w:rPr>
          <w:rFonts w:ascii="Times New Roman" w:hAnsi="Times New Roman" w:cs="Times New Roman"/>
          <w:sz w:val="24"/>
          <w:szCs w:val="24"/>
        </w:rPr>
        <w:t xml:space="preserve">e </w:t>
      </w:r>
      <w:r w:rsidRPr="00DA725A">
        <w:rPr>
          <w:rFonts w:ascii="Times New Roman" w:hAnsi="Times New Roman" w:cs="Times New Roman"/>
          <w:sz w:val="24"/>
          <w:szCs w:val="24"/>
        </w:rPr>
        <w:t xml:space="preserve"> dis</w:t>
      </w:r>
      <w:r w:rsidR="00530EEE">
        <w:rPr>
          <w:rFonts w:ascii="Times New Roman" w:hAnsi="Times New Roman" w:cs="Times New Roman"/>
          <w:sz w:val="24"/>
          <w:szCs w:val="24"/>
        </w:rPr>
        <w:t>posizion</w:t>
      </w:r>
      <w:r w:rsidR="00062AC2">
        <w:rPr>
          <w:rFonts w:ascii="Times New Roman" w:hAnsi="Times New Roman" w:cs="Times New Roman"/>
          <w:sz w:val="24"/>
          <w:szCs w:val="24"/>
        </w:rPr>
        <w:t>i</w:t>
      </w:r>
      <w:r w:rsidRPr="00DA725A">
        <w:rPr>
          <w:rFonts w:ascii="Times New Roman" w:hAnsi="Times New Roman" w:cs="Times New Roman"/>
          <w:sz w:val="24"/>
          <w:szCs w:val="24"/>
        </w:rPr>
        <w:t xml:space="preserve"> in esame nulla </w:t>
      </w:r>
      <w:r w:rsidR="00062AC2">
        <w:rPr>
          <w:rFonts w:ascii="Times New Roman" w:hAnsi="Times New Roman" w:cs="Times New Roman"/>
          <w:sz w:val="24"/>
          <w:szCs w:val="24"/>
        </w:rPr>
        <w:t>prevedono per la</w:t>
      </w:r>
      <w:r w:rsidRPr="00DA725A">
        <w:rPr>
          <w:rFonts w:ascii="Times New Roman" w:hAnsi="Times New Roman" w:cs="Times New Roman"/>
          <w:sz w:val="24"/>
          <w:szCs w:val="24"/>
        </w:rPr>
        <w:t xml:space="preserve"> materia d</w:t>
      </w:r>
      <w:r w:rsidR="00062AC2">
        <w:rPr>
          <w:rFonts w:ascii="Times New Roman" w:hAnsi="Times New Roman" w:cs="Times New Roman"/>
          <w:sz w:val="24"/>
          <w:szCs w:val="24"/>
        </w:rPr>
        <w:t>elle</w:t>
      </w:r>
      <w:r w:rsidRPr="00DA725A">
        <w:rPr>
          <w:rFonts w:ascii="Times New Roman" w:hAnsi="Times New Roman" w:cs="Times New Roman"/>
          <w:sz w:val="24"/>
          <w:szCs w:val="24"/>
        </w:rPr>
        <w:t xml:space="preserve"> vendite competitive in ambito concorsuale. Evidentemente il legislatore ha ritenuto che la forma obbligatoria delle vendite telematiche debba essere estesa alle procedure concorsuali nei limiti di cui agli artt.107, 2° co.  e 182, 5° co.,</w:t>
      </w:r>
      <w:proofErr w:type="spellStart"/>
      <w:r w:rsidRPr="00DA725A">
        <w:rPr>
          <w:rFonts w:ascii="Times New Roman" w:hAnsi="Times New Roman" w:cs="Times New Roman"/>
          <w:sz w:val="24"/>
          <w:szCs w:val="24"/>
        </w:rPr>
        <w:t>l.f</w:t>
      </w:r>
      <w:proofErr w:type="spellEnd"/>
      <w:r w:rsidRPr="00DA725A">
        <w:rPr>
          <w:rFonts w:ascii="Times New Roman" w:hAnsi="Times New Roman" w:cs="Times New Roman"/>
          <w:sz w:val="24"/>
          <w:szCs w:val="24"/>
        </w:rPr>
        <w:t>., il che però significa che solo quando il programma di liquidazione del fallimento o il piano del concordato prevedono l’applicazione delle norme del codice di procedura si avrà l’obbligatorietà della vendita telematica, mentre nelle altre ipotesi tale obbligo non sussisterà.</w:t>
      </w:r>
    </w:p>
    <w:p w:rsidR="00B3145E" w:rsidRPr="00DA725A" w:rsidRDefault="00B3145E"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Peraltro è </w:t>
      </w:r>
      <w:r w:rsidR="00530EEE">
        <w:rPr>
          <w:rFonts w:ascii="Times New Roman" w:hAnsi="Times New Roman" w:cs="Times New Roman"/>
          <w:sz w:val="24"/>
          <w:szCs w:val="24"/>
        </w:rPr>
        <w:t>logico</w:t>
      </w:r>
      <w:r>
        <w:rPr>
          <w:rFonts w:ascii="Times New Roman" w:hAnsi="Times New Roman" w:cs="Times New Roman"/>
          <w:sz w:val="24"/>
          <w:szCs w:val="24"/>
        </w:rPr>
        <w:t xml:space="preserve"> che le vendite competitive con forme diverse, scelte dal curatore o previste dal piano concordatario, ove siano incentrate sulla modalità telematica dovranno rispettare quanto meno le garanzie e le formalità della disciplina generale che qui si commenta, fermo restando le altre maggiori cautele che potranno essere previste. </w:t>
      </w:r>
      <w:r w:rsidR="001000F3">
        <w:rPr>
          <w:rFonts w:ascii="Times New Roman" w:hAnsi="Times New Roman" w:cs="Times New Roman"/>
          <w:sz w:val="24"/>
          <w:szCs w:val="24"/>
        </w:rPr>
        <w:t>Quanto alla pubblicità</w:t>
      </w:r>
      <w:r>
        <w:rPr>
          <w:rFonts w:ascii="Times New Roman" w:hAnsi="Times New Roman" w:cs="Times New Roman"/>
          <w:sz w:val="24"/>
          <w:szCs w:val="24"/>
        </w:rPr>
        <w:t xml:space="preserve"> per le vendite “concorsuali” </w:t>
      </w:r>
      <w:r w:rsidR="001000F3">
        <w:rPr>
          <w:rFonts w:ascii="Times New Roman" w:hAnsi="Times New Roman" w:cs="Times New Roman"/>
          <w:sz w:val="24"/>
          <w:szCs w:val="24"/>
        </w:rPr>
        <w:t xml:space="preserve">rimando a quanto osservato </w:t>
      </w:r>
      <w:r w:rsidR="001000F3">
        <w:rPr>
          <w:rFonts w:ascii="Times New Roman" w:hAnsi="Times New Roman" w:cs="Times New Roman"/>
          <w:i/>
          <w:sz w:val="24"/>
          <w:szCs w:val="24"/>
        </w:rPr>
        <w:t xml:space="preserve">infra, </w:t>
      </w:r>
      <w:r w:rsidR="001000F3">
        <w:rPr>
          <w:rFonts w:ascii="Times New Roman" w:hAnsi="Times New Roman" w:cs="Times New Roman"/>
          <w:sz w:val="24"/>
          <w:szCs w:val="24"/>
        </w:rPr>
        <w:t xml:space="preserve"> al § 5</w:t>
      </w:r>
      <w:r w:rsidR="007D1A01">
        <w:rPr>
          <w:rFonts w:ascii="Times New Roman" w:hAnsi="Times New Roman" w:cs="Times New Roman"/>
          <w:sz w:val="24"/>
          <w:szCs w:val="24"/>
        </w:rPr>
        <w:t>.</w:t>
      </w:r>
    </w:p>
    <w:p w:rsidR="0042190F" w:rsidRDefault="0042190F" w:rsidP="00403302">
      <w:pPr>
        <w:spacing w:line="240" w:lineRule="auto"/>
        <w:jc w:val="both"/>
        <w:rPr>
          <w:rFonts w:ascii="Times New Roman" w:hAnsi="Times New Roman" w:cs="Times New Roman"/>
          <w:sz w:val="24"/>
          <w:szCs w:val="24"/>
        </w:rPr>
      </w:pPr>
    </w:p>
    <w:p w:rsidR="00FD6C46" w:rsidRPr="00FD6C46" w:rsidRDefault="00FD6C46" w:rsidP="00403302">
      <w:pPr>
        <w:spacing w:line="240" w:lineRule="auto"/>
        <w:jc w:val="both"/>
        <w:rPr>
          <w:rFonts w:ascii="Times New Roman" w:hAnsi="Times New Roman" w:cs="Times New Roman"/>
          <w:b/>
          <w:sz w:val="24"/>
          <w:szCs w:val="24"/>
        </w:rPr>
      </w:pPr>
      <w:r w:rsidRPr="00FD6C46">
        <w:rPr>
          <w:rFonts w:ascii="Times New Roman" w:hAnsi="Times New Roman" w:cs="Times New Roman"/>
          <w:b/>
          <w:sz w:val="24"/>
          <w:szCs w:val="24"/>
        </w:rPr>
        <w:t>2. ENTRATA IN VIGORE</w:t>
      </w:r>
    </w:p>
    <w:p w:rsidR="004B44DD" w:rsidRPr="00DA725A" w:rsidRDefault="00AB0144" w:rsidP="00403302">
      <w:pPr>
        <w:spacing w:line="240" w:lineRule="auto"/>
        <w:jc w:val="both"/>
        <w:rPr>
          <w:rFonts w:ascii="Times New Roman" w:hAnsi="Times New Roman" w:cs="Times New Roman"/>
          <w:bCs/>
          <w:sz w:val="24"/>
          <w:szCs w:val="24"/>
        </w:rPr>
      </w:pPr>
      <w:r w:rsidRPr="00DA725A">
        <w:rPr>
          <w:rFonts w:ascii="Times New Roman" w:hAnsi="Times New Roman" w:cs="Times New Roman"/>
          <w:sz w:val="24"/>
          <w:szCs w:val="24"/>
        </w:rPr>
        <w:t>Ma ve</w:t>
      </w:r>
      <w:r w:rsidR="00FD6C46">
        <w:rPr>
          <w:rFonts w:ascii="Times New Roman" w:hAnsi="Times New Roman" w:cs="Times New Roman"/>
          <w:sz w:val="24"/>
          <w:szCs w:val="24"/>
        </w:rPr>
        <w:t>d</w:t>
      </w:r>
      <w:r w:rsidRPr="00DA725A">
        <w:rPr>
          <w:rFonts w:ascii="Times New Roman" w:hAnsi="Times New Roman" w:cs="Times New Roman"/>
          <w:sz w:val="24"/>
          <w:szCs w:val="24"/>
        </w:rPr>
        <w:t>iamo ora</w:t>
      </w:r>
      <w:r w:rsidR="00FD6C46">
        <w:rPr>
          <w:rFonts w:ascii="Times New Roman" w:hAnsi="Times New Roman" w:cs="Times New Roman"/>
          <w:sz w:val="24"/>
          <w:szCs w:val="24"/>
        </w:rPr>
        <w:t xml:space="preserve"> a partire da quando dovranno essere applicate</w:t>
      </w:r>
      <w:r w:rsidRPr="00DA725A">
        <w:rPr>
          <w:rFonts w:ascii="Times New Roman" w:hAnsi="Times New Roman" w:cs="Times New Roman"/>
          <w:sz w:val="24"/>
          <w:szCs w:val="24"/>
        </w:rPr>
        <w:t xml:space="preserve"> le</w:t>
      </w:r>
      <w:r w:rsidR="00FD6C46">
        <w:rPr>
          <w:rFonts w:ascii="Times New Roman" w:hAnsi="Times New Roman" w:cs="Times New Roman"/>
          <w:sz w:val="24"/>
          <w:szCs w:val="24"/>
        </w:rPr>
        <w:t xml:space="preserve"> nuove</w:t>
      </w:r>
      <w:r w:rsidRPr="00DA725A">
        <w:rPr>
          <w:rFonts w:ascii="Times New Roman" w:hAnsi="Times New Roman" w:cs="Times New Roman"/>
          <w:sz w:val="24"/>
          <w:szCs w:val="24"/>
        </w:rPr>
        <w:t xml:space="preserve"> modalità di vendita</w:t>
      </w:r>
      <w:r w:rsidR="00FD6C46">
        <w:rPr>
          <w:rFonts w:ascii="Times New Roman" w:hAnsi="Times New Roman" w:cs="Times New Roman"/>
          <w:sz w:val="24"/>
          <w:szCs w:val="24"/>
        </w:rPr>
        <w:t xml:space="preserve"> in commento</w:t>
      </w:r>
      <w:r w:rsidRPr="00DA725A">
        <w:rPr>
          <w:rFonts w:ascii="Times New Roman" w:hAnsi="Times New Roman" w:cs="Times New Roman"/>
          <w:sz w:val="24"/>
          <w:szCs w:val="24"/>
        </w:rPr>
        <w:t>, che abbiamo appena visto essere disciplinate dal decreto ministeriale. Quest’ultimo intanto è intervenuto il 26 febbraio 2015 (</w:t>
      </w:r>
      <w:proofErr w:type="spellStart"/>
      <w:r w:rsidRPr="00DA725A">
        <w:rPr>
          <w:rFonts w:ascii="Times New Roman" w:hAnsi="Times New Roman" w:cs="Times New Roman"/>
          <w:sz w:val="24"/>
          <w:szCs w:val="24"/>
        </w:rPr>
        <w:t>d.m.</w:t>
      </w:r>
      <w:proofErr w:type="spellEnd"/>
      <w:r w:rsidRPr="00DA725A">
        <w:rPr>
          <w:rFonts w:ascii="Times New Roman" w:hAnsi="Times New Roman" w:cs="Times New Roman"/>
          <w:sz w:val="24"/>
          <w:szCs w:val="24"/>
        </w:rPr>
        <w:t xml:space="preserve"> n.32), e prevede  (art.26) delle specifiche tecniche che a loro volta sono intervenute solo </w:t>
      </w:r>
      <w:r w:rsidRPr="00DA725A">
        <w:rPr>
          <w:rFonts w:ascii="Times New Roman" w:hAnsi="Times New Roman" w:cs="Times New Roman"/>
          <w:sz w:val="24"/>
          <w:szCs w:val="24"/>
        </w:rPr>
        <w:lastRenderedPageBreak/>
        <w:t xml:space="preserve">con un atto </w:t>
      </w:r>
      <w:proofErr w:type="spellStart"/>
      <w:r w:rsidRPr="00DA725A">
        <w:rPr>
          <w:rFonts w:ascii="Times New Roman" w:hAnsi="Times New Roman" w:cs="Times New Roman"/>
          <w:sz w:val="24"/>
          <w:szCs w:val="24"/>
        </w:rPr>
        <w:t>subsecondario</w:t>
      </w:r>
      <w:proofErr w:type="spellEnd"/>
      <w:r w:rsidRPr="00DA725A">
        <w:rPr>
          <w:rFonts w:ascii="Times New Roman" w:hAnsi="Times New Roman" w:cs="Times New Roman"/>
          <w:sz w:val="24"/>
          <w:szCs w:val="24"/>
        </w:rPr>
        <w:t xml:space="preserve"> del  </w:t>
      </w:r>
      <w:r w:rsidRPr="00DA725A">
        <w:rPr>
          <w:rFonts w:ascii="Times New Roman" w:hAnsi="Times New Roman" w:cs="Times New Roman"/>
          <w:bCs/>
          <w:sz w:val="24"/>
          <w:szCs w:val="24"/>
        </w:rPr>
        <w:t>D.G.S.I.A.(</w:t>
      </w:r>
      <w:r w:rsidR="00FD6C46" w:rsidRPr="00DA725A">
        <w:rPr>
          <w:rFonts w:ascii="Times New Roman" w:hAnsi="Times New Roman" w:cs="Times New Roman"/>
          <w:bCs/>
          <w:sz w:val="24"/>
          <w:szCs w:val="24"/>
        </w:rPr>
        <w:t>dipartimento dell’organizzazione giudiziaria, del personale e dei servizi</w:t>
      </w:r>
      <w:r w:rsidR="00FF76E5">
        <w:rPr>
          <w:rFonts w:ascii="Times New Roman" w:hAnsi="Times New Roman" w:cs="Times New Roman"/>
          <w:bCs/>
          <w:sz w:val="24"/>
          <w:szCs w:val="24"/>
        </w:rPr>
        <w:t>)  pubblicat</w:t>
      </w:r>
      <w:r w:rsidR="00F774F3">
        <w:rPr>
          <w:rFonts w:ascii="Times New Roman" w:hAnsi="Times New Roman" w:cs="Times New Roman"/>
          <w:bCs/>
          <w:sz w:val="24"/>
          <w:szCs w:val="24"/>
        </w:rPr>
        <w:t>o</w:t>
      </w:r>
      <w:r w:rsidR="00FF76E5">
        <w:rPr>
          <w:rFonts w:ascii="Times New Roman" w:hAnsi="Times New Roman" w:cs="Times New Roman"/>
          <w:bCs/>
          <w:sz w:val="24"/>
          <w:szCs w:val="24"/>
        </w:rPr>
        <w:t xml:space="preserve"> il 28 giugno</w:t>
      </w:r>
      <w:r w:rsidRPr="00DA725A">
        <w:rPr>
          <w:rFonts w:ascii="Times New Roman" w:hAnsi="Times New Roman" w:cs="Times New Roman"/>
          <w:bCs/>
          <w:sz w:val="24"/>
          <w:szCs w:val="24"/>
        </w:rPr>
        <w:t xml:space="preserve"> 2017.</w:t>
      </w:r>
    </w:p>
    <w:p w:rsidR="00AB0144" w:rsidRPr="00717926" w:rsidRDefault="00AB0144" w:rsidP="00403302">
      <w:pPr>
        <w:spacing w:line="240" w:lineRule="auto"/>
        <w:jc w:val="both"/>
        <w:rPr>
          <w:rFonts w:ascii="Times New Roman" w:hAnsi="Times New Roman" w:cs="Times New Roman"/>
          <w:bCs/>
          <w:sz w:val="24"/>
          <w:szCs w:val="24"/>
        </w:rPr>
      </w:pPr>
      <w:r w:rsidRPr="00DA725A">
        <w:rPr>
          <w:rFonts w:ascii="Times New Roman" w:hAnsi="Times New Roman" w:cs="Times New Roman"/>
          <w:bCs/>
          <w:sz w:val="24"/>
          <w:szCs w:val="24"/>
        </w:rPr>
        <w:t xml:space="preserve">Importante </w:t>
      </w:r>
      <w:r w:rsidR="000A58B9" w:rsidRPr="00DA725A">
        <w:rPr>
          <w:rFonts w:ascii="Times New Roman" w:hAnsi="Times New Roman" w:cs="Times New Roman"/>
          <w:bCs/>
          <w:sz w:val="24"/>
          <w:szCs w:val="24"/>
        </w:rPr>
        <w:t>anzitutto</w:t>
      </w:r>
      <w:r w:rsidRPr="00DA725A">
        <w:rPr>
          <w:rFonts w:ascii="Times New Roman" w:hAnsi="Times New Roman" w:cs="Times New Roman"/>
          <w:bCs/>
          <w:sz w:val="24"/>
          <w:szCs w:val="24"/>
        </w:rPr>
        <w:t xml:space="preserve"> notare che l’obbligatorietà delle </w:t>
      </w:r>
      <w:r w:rsidR="00864E6B" w:rsidRPr="00DA725A">
        <w:rPr>
          <w:rFonts w:ascii="Times New Roman" w:hAnsi="Times New Roman" w:cs="Times New Roman"/>
          <w:bCs/>
          <w:sz w:val="24"/>
          <w:szCs w:val="24"/>
        </w:rPr>
        <w:t>vendite telematiche</w:t>
      </w:r>
      <w:r w:rsidR="00FF76E5">
        <w:rPr>
          <w:rFonts w:ascii="Times New Roman" w:hAnsi="Times New Roman" w:cs="Times New Roman"/>
          <w:bCs/>
          <w:sz w:val="24"/>
          <w:szCs w:val="24"/>
        </w:rPr>
        <w:t xml:space="preserve"> riguarda anche le procedure in corso, ed in particolare</w:t>
      </w:r>
      <w:r w:rsidR="00864E6B" w:rsidRPr="00DA725A">
        <w:rPr>
          <w:rFonts w:ascii="Times New Roman" w:hAnsi="Times New Roman" w:cs="Times New Roman"/>
          <w:bCs/>
          <w:sz w:val="24"/>
          <w:szCs w:val="24"/>
        </w:rPr>
        <w:t xml:space="preserve"> è stabilito che la stessa co</w:t>
      </w:r>
      <w:r w:rsidR="00FF76E5">
        <w:rPr>
          <w:rFonts w:ascii="Times New Roman" w:hAnsi="Times New Roman" w:cs="Times New Roman"/>
          <w:bCs/>
          <w:sz w:val="24"/>
          <w:szCs w:val="24"/>
        </w:rPr>
        <w:t>ncerna</w:t>
      </w:r>
      <w:r w:rsidR="00864E6B" w:rsidRPr="00DA725A">
        <w:rPr>
          <w:rFonts w:ascii="Times New Roman" w:hAnsi="Times New Roman" w:cs="Times New Roman"/>
          <w:bCs/>
          <w:sz w:val="24"/>
          <w:szCs w:val="24"/>
        </w:rPr>
        <w:t xml:space="preserve">, per quanto riguarda l’art.569, 4° co. </w:t>
      </w:r>
      <w:proofErr w:type="spellStart"/>
      <w:r w:rsidR="00864E6B" w:rsidRPr="00DA725A">
        <w:rPr>
          <w:rFonts w:ascii="Times New Roman" w:hAnsi="Times New Roman" w:cs="Times New Roman"/>
          <w:bCs/>
          <w:sz w:val="24"/>
          <w:szCs w:val="24"/>
        </w:rPr>
        <w:t>cpc</w:t>
      </w:r>
      <w:proofErr w:type="spellEnd"/>
      <w:r w:rsidR="00864E6B" w:rsidRPr="00DA725A">
        <w:rPr>
          <w:rFonts w:ascii="Times New Roman" w:hAnsi="Times New Roman" w:cs="Times New Roman"/>
          <w:bCs/>
          <w:sz w:val="24"/>
          <w:szCs w:val="24"/>
        </w:rPr>
        <w:t xml:space="preserve"> (quindi </w:t>
      </w:r>
      <w:r w:rsidR="007D1A01">
        <w:rPr>
          <w:rFonts w:ascii="Times New Roman" w:hAnsi="Times New Roman" w:cs="Times New Roman"/>
          <w:bCs/>
          <w:sz w:val="24"/>
          <w:szCs w:val="24"/>
        </w:rPr>
        <w:t xml:space="preserve">le </w:t>
      </w:r>
      <w:r w:rsidR="00864E6B" w:rsidRPr="00DA725A">
        <w:rPr>
          <w:rFonts w:ascii="Times New Roman" w:hAnsi="Times New Roman" w:cs="Times New Roman"/>
          <w:bCs/>
          <w:sz w:val="24"/>
          <w:szCs w:val="24"/>
        </w:rPr>
        <w:t>vendite immobiliari)</w:t>
      </w:r>
      <w:r w:rsidR="00FF76E5">
        <w:rPr>
          <w:rFonts w:ascii="Times New Roman" w:hAnsi="Times New Roman" w:cs="Times New Roman"/>
          <w:bCs/>
          <w:sz w:val="24"/>
          <w:szCs w:val="24"/>
        </w:rPr>
        <w:t xml:space="preserve">, </w:t>
      </w:r>
      <w:r w:rsidR="00864E6B" w:rsidRPr="00DA725A">
        <w:rPr>
          <w:rFonts w:ascii="Times New Roman" w:hAnsi="Times New Roman" w:cs="Times New Roman"/>
          <w:bCs/>
          <w:sz w:val="24"/>
          <w:szCs w:val="24"/>
        </w:rPr>
        <w:t>i provved</w:t>
      </w:r>
      <w:r w:rsidR="000A58B9" w:rsidRPr="00DA725A">
        <w:rPr>
          <w:rFonts w:ascii="Times New Roman" w:hAnsi="Times New Roman" w:cs="Times New Roman"/>
          <w:bCs/>
          <w:sz w:val="24"/>
          <w:szCs w:val="24"/>
        </w:rPr>
        <w:t>i</w:t>
      </w:r>
      <w:r w:rsidR="00864E6B" w:rsidRPr="00DA725A">
        <w:rPr>
          <w:rFonts w:ascii="Times New Roman" w:hAnsi="Times New Roman" w:cs="Times New Roman"/>
          <w:bCs/>
          <w:sz w:val="24"/>
          <w:szCs w:val="24"/>
        </w:rPr>
        <w:t>menti che dispongono la vendita (oggi generalmente</w:t>
      </w:r>
      <w:r w:rsidR="007D1A01">
        <w:rPr>
          <w:rFonts w:ascii="Times New Roman" w:hAnsi="Times New Roman" w:cs="Times New Roman"/>
          <w:bCs/>
          <w:sz w:val="24"/>
          <w:szCs w:val="24"/>
        </w:rPr>
        <w:t xml:space="preserve"> identificati</w:t>
      </w:r>
      <w:r w:rsidR="00864E6B" w:rsidRPr="00DA725A">
        <w:rPr>
          <w:rFonts w:ascii="Times New Roman" w:hAnsi="Times New Roman" w:cs="Times New Roman"/>
          <w:bCs/>
          <w:sz w:val="24"/>
          <w:szCs w:val="24"/>
        </w:rPr>
        <w:t xml:space="preserve"> con quelli che la delegano) emessi dopo il novantesimo giorno successivo alla pubblicazione sulla Gazzetta Ufficiale del decreto ministeriale che accerta la piena funzionalità del portale delle vendite telematiche</w:t>
      </w:r>
      <w:r w:rsidR="00B21112">
        <w:rPr>
          <w:rFonts w:ascii="Times New Roman" w:hAnsi="Times New Roman" w:cs="Times New Roman"/>
          <w:bCs/>
          <w:sz w:val="24"/>
          <w:szCs w:val="24"/>
        </w:rPr>
        <w:t xml:space="preserve"> (art. 4, 5° co., del </w:t>
      </w:r>
      <w:proofErr w:type="spellStart"/>
      <w:r w:rsidR="00B21112">
        <w:rPr>
          <w:rFonts w:ascii="Times New Roman" w:hAnsi="Times New Roman" w:cs="Times New Roman"/>
          <w:bCs/>
          <w:sz w:val="24"/>
          <w:szCs w:val="24"/>
        </w:rPr>
        <w:t>d.l.</w:t>
      </w:r>
      <w:proofErr w:type="spellEnd"/>
      <w:r w:rsidR="00B21112">
        <w:rPr>
          <w:rFonts w:ascii="Times New Roman" w:hAnsi="Times New Roman" w:cs="Times New Roman"/>
          <w:bCs/>
          <w:sz w:val="24"/>
          <w:szCs w:val="24"/>
        </w:rPr>
        <w:t xml:space="preserve"> n.59/16 come convertito dalla l. 119/16)</w:t>
      </w:r>
      <w:r w:rsidR="00864E6B" w:rsidRPr="00DA725A">
        <w:rPr>
          <w:rFonts w:ascii="Times New Roman" w:hAnsi="Times New Roman" w:cs="Times New Roman"/>
          <w:bCs/>
          <w:sz w:val="24"/>
          <w:szCs w:val="24"/>
        </w:rPr>
        <w:t>, d</w:t>
      </w:r>
      <w:r w:rsidR="007D1A01">
        <w:rPr>
          <w:rFonts w:ascii="Times New Roman" w:hAnsi="Times New Roman" w:cs="Times New Roman"/>
          <w:bCs/>
          <w:sz w:val="24"/>
          <w:szCs w:val="24"/>
        </w:rPr>
        <w:t>el quale</w:t>
      </w:r>
      <w:r w:rsidR="00864E6B" w:rsidRPr="00DA725A">
        <w:rPr>
          <w:rFonts w:ascii="Times New Roman" w:hAnsi="Times New Roman" w:cs="Times New Roman"/>
          <w:bCs/>
          <w:sz w:val="24"/>
          <w:szCs w:val="24"/>
        </w:rPr>
        <w:t xml:space="preserve"> si dirà  a proposito delle forme di pubblicità collegate alle stesse.  Tale ultimo decreto, in base all’art. 4, co.3 </w:t>
      </w:r>
      <w:r w:rsidR="00864E6B" w:rsidRPr="007D1A01">
        <w:rPr>
          <w:rFonts w:ascii="Times New Roman" w:hAnsi="Times New Roman" w:cs="Times New Roman"/>
          <w:bCs/>
          <w:i/>
          <w:sz w:val="24"/>
          <w:szCs w:val="24"/>
        </w:rPr>
        <w:t>bis</w:t>
      </w:r>
      <w:r w:rsidR="00864E6B" w:rsidRPr="00DA725A">
        <w:rPr>
          <w:rFonts w:ascii="Times New Roman" w:hAnsi="Times New Roman" w:cs="Times New Roman"/>
          <w:bCs/>
          <w:sz w:val="24"/>
          <w:szCs w:val="24"/>
        </w:rPr>
        <w:t xml:space="preserve">, della l. 119/2016, avrebbe dovuto essere emesso entro il 30 giugno 2017, ma il relativo termine è stato </w:t>
      </w:r>
      <w:r w:rsidR="00065F7E">
        <w:rPr>
          <w:rFonts w:ascii="Times New Roman" w:hAnsi="Times New Roman" w:cs="Times New Roman"/>
          <w:bCs/>
          <w:sz w:val="24"/>
          <w:szCs w:val="24"/>
        </w:rPr>
        <w:t>da ultimo</w:t>
      </w:r>
      <w:r w:rsidR="00864E6B" w:rsidRPr="00DA725A">
        <w:rPr>
          <w:rFonts w:ascii="Times New Roman" w:hAnsi="Times New Roman" w:cs="Times New Roman"/>
          <w:bCs/>
          <w:sz w:val="24"/>
          <w:szCs w:val="24"/>
        </w:rPr>
        <w:t xml:space="preserve"> ulteriormente prorogato al 30 ottobre 2017 (per cui se </w:t>
      </w:r>
      <w:r w:rsidR="003157D6">
        <w:rPr>
          <w:rFonts w:ascii="Times New Roman" w:hAnsi="Times New Roman" w:cs="Times New Roman"/>
          <w:bCs/>
          <w:sz w:val="24"/>
          <w:szCs w:val="24"/>
        </w:rPr>
        <w:t>quest’ultimo</w:t>
      </w:r>
      <w:r w:rsidR="00864E6B" w:rsidRPr="00DA725A">
        <w:rPr>
          <w:rFonts w:ascii="Times New Roman" w:hAnsi="Times New Roman" w:cs="Times New Roman"/>
          <w:bCs/>
          <w:sz w:val="24"/>
          <w:szCs w:val="24"/>
        </w:rPr>
        <w:t xml:space="preserve"> </w:t>
      </w:r>
      <w:r w:rsidR="00065F7E">
        <w:rPr>
          <w:rFonts w:ascii="Times New Roman" w:hAnsi="Times New Roman" w:cs="Times New Roman"/>
          <w:bCs/>
          <w:sz w:val="24"/>
          <w:szCs w:val="24"/>
        </w:rPr>
        <w:t>fosse stato</w:t>
      </w:r>
      <w:r w:rsidR="00864E6B" w:rsidRPr="00DA725A">
        <w:rPr>
          <w:rFonts w:ascii="Times New Roman" w:hAnsi="Times New Roman" w:cs="Times New Roman"/>
          <w:bCs/>
          <w:sz w:val="24"/>
          <w:szCs w:val="24"/>
        </w:rPr>
        <w:t xml:space="preserve"> rispettato, l</w:t>
      </w:r>
      <w:r w:rsidR="00102C64">
        <w:rPr>
          <w:rFonts w:ascii="Times New Roman" w:hAnsi="Times New Roman" w:cs="Times New Roman"/>
          <w:bCs/>
          <w:sz w:val="24"/>
          <w:szCs w:val="24"/>
        </w:rPr>
        <w:t xml:space="preserve">’obbligatorietà </w:t>
      </w:r>
      <w:r w:rsidR="00065F7E">
        <w:rPr>
          <w:rFonts w:ascii="Times New Roman" w:hAnsi="Times New Roman" w:cs="Times New Roman"/>
          <w:bCs/>
          <w:sz w:val="24"/>
          <w:szCs w:val="24"/>
        </w:rPr>
        <w:t>avrebbe riguardato</w:t>
      </w:r>
      <w:r w:rsidR="007D1A01">
        <w:rPr>
          <w:rFonts w:ascii="Times New Roman" w:hAnsi="Times New Roman" w:cs="Times New Roman"/>
          <w:bCs/>
          <w:sz w:val="24"/>
          <w:szCs w:val="24"/>
        </w:rPr>
        <w:t xml:space="preserve"> </w:t>
      </w:r>
      <w:r w:rsidR="00864E6B" w:rsidRPr="00DA725A">
        <w:rPr>
          <w:rFonts w:ascii="Times New Roman" w:hAnsi="Times New Roman" w:cs="Times New Roman"/>
          <w:bCs/>
          <w:sz w:val="24"/>
          <w:szCs w:val="24"/>
        </w:rPr>
        <w:t>le vendite</w:t>
      </w:r>
      <w:r w:rsidR="00065F7E">
        <w:rPr>
          <w:rFonts w:ascii="Times New Roman" w:hAnsi="Times New Roman" w:cs="Times New Roman"/>
          <w:bCs/>
          <w:sz w:val="24"/>
          <w:szCs w:val="24"/>
        </w:rPr>
        <w:t xml:space="preserve"> d</w:t>
      </w:r>
      <w:r w:rsidR="00864E6B" w:rsidRPr="00DA725A">
        <w:rPr>
          <w:rFonts w:ascii="Times New Roman" w:hAnsi="Times New Roman" w:cs="Times New Roman"/>
          <w:bCs/>
          <w:sz w:val="24"/>
          <w:szCs w:val="24"/>
        </w:rPr>
        <w:t>isposte a partire dal 29 gennaio 2018</w:t>
      </w:r>
      <w:r w:rsidR="00065F7E">
        <w:rPr>
          <w:rFonts w:ascii="Times New Roman" w:hAnsi="Times New Roman" w:cs="Times New Roman"/>
          <w:bCs/>
          <w:sz w:val="24"/>
          <w:szCs w:val="24"/>
        </w:rPr>
        <w:t>. Tuttavia nei termini previsti il decreto non è stato emanato</w:t>
      </w:r>
      <w:r w:rsidR="00FF76E5">
        <w:rPr>
          <w:rFonts w:ascii="Times New Roman" w:hAnsi="Times New Roman" w:cs="Times New Roman"/>
          <w:bCs/>
          <w:sz w:val="24"/>
          <w:szCs w:val="24"/>
        </w:rPr>
        <w:t>)</w:t>
      </w:r>
      <w:r w:rsidR="00864E6B" w:rsidRPr="00DA725A">
        <w:rPr>
          <w:rFonts w:ascii="Times New Roman" w:hAnsi="Times New Roman" w:cs="Times New Roman"/>
          <w:bCs/>
          <w:sz w:val="24"/>
          <w:szCs w:val="24"/>
        </w:rPr>
        <w:t>. Ovviamente tali disposizioni saranno applicabili</w:t>
      </w:r>
      <w:r w:rsidR="00FF76E5">
        <w:rPr>
          <w:rFonts w:ascii="Times New Roman" w:hAnsi="Times New Roman" w:cs="Times New Roman"/>
          <w:bCs/>
          <w:sz w:val="24"/>
          <w:szCs w:val="24"/>
        </w:rPr>
        <w:t xml:space="preserve"> non solo alle ordinanze che per la prima volta dispongono la vendita (o più spesso conferiscono la delega), ma</w:t>
      </w:r>
      <w:r w:rsidR="00864E6B" w:rsidRPr="00DA725A">
        <w:rPr>
          <w:rFonts w:ascii="Times New Roman" w:hAnsi="Times New Roman" w:cs="Times New Roman"/>
          <w:bCs/>
          <w:sz w:val="24"/>
          <w:szCs w:val="24"/>
        </w:rPr>
        <w:t xml:space="preserve"> anche in ipotesi di c.d. rinnovo di delega. E’ infatti noto che l’art.591 </w:t>
      </w:r>
      <w:r w:rsidR="00864E6B" w:rsidRPr="007D1A01">
        <w:rPr>
          <w:rFonts w:ascii="Times New Roman" w:hAnsi="Times New Roman" w:cs="Times New Roman"/>
          <w:bCs/>
          <w:i/>
          <w:sz w:val="24"/>
          <w:szCs w:val="24"/>
        </w:rPr>
        <w:t>bis</w:t>
      </w:r>
      <w:r w:rsidR="00864E6B" w:rsidRPr="00DA725A">
        <w:rPr>
          <w:rFonts w:ascii="Times New Roman" w:hAnsi="Times New Roman" w:cs="Times New Roman"/>
          <w:bCs/>
          <w:sz w:val="24"/>
          <w:szCs w:val="24"/>
        </w:rPr>
        <w:t xml:space="preserve"> </w:t>
      </w:r>
      <w:proofErr w:type="spellStart"/>
      <w:r w:rsidR="00864E6B" w:rsidRPr="00DA725A">
        <w:rPr>
          <w:rFonts w:ascii="Times New Roman" w:hAnsi="Times New Roman" w:cs="Times New Roman"/>
          <w:bCs/>
          <w:sz w:val="24"/>
          <w:szCs w:val="24"/>
        </w:rPr>
        <w:t>cpc</w:t>
      </w:r>
      <w:proofErr w:type="spellEnd"/>
      <w:r w:rsidR="00864E6B" w:rsidRPr="00DA725A">
        <w:rPr>
          <w:rFonts w:ascii="Times New Roman" w:hAnsi="Times New Roman" w:cs="Times New Roman"/>
          <w:bCs/>
          <w:sz w:val="24"/>
          <w:szCs w:val="24"/>
        </w:rPr>
        <w:t xml:space="preserve"> stabilisce un termine per l’esercizio della delega</w:t>
      </w:r>
      <w:r w:rsidR="00A3567A" w:rsidRPr="00DA725A">
        <w:rPr>
          <w:rFonts w:ascii="Times New Roman" w:hAnsi="Times New Roman" w:cs="Times New Roman"/>
          <w:bCs/>
          <w:sz w:val="24"/>
          <w:szCs w:val="24"/>
        </w:rPr>
        <w:t>, scadut</w:t>
      </w:r>
      <w:r w:rsidR="00F774F3">
        <w:rPr>
          <w:rFonts w:ascii="Times New Roman" w:hAnsi="Times New Roman" w:cs="Times New Roman"/>
          <w:bCs/>
          <w:sz w:val="24"/>
          <w:szCs w:val="24"/>
        </w:rPr>
        <w:t>o</w:t>
      </w:r>
      <w:r w:rsidR="00A3567A" w:rsidRPr="00DA725A">
        <w:rPr>
          <w:rFonts w:ascii="Times New Roman" w:hAnsi="Times New Roman" w:cs="Times New Roman"/>
          <w:bCs/>
          <w:sz w:val="24"/>
          <w:szCs w:val="24"/>
        </w:rPr>
        <w:t xml:space="preserve"> </w:t>
      </w:r>
      <w:r w:rsidR="00F774F3">
        <w:rPr>
          <w:rFonts w:ascii="Times New Roman" w:hAnsi="Times New Roman" w:cs="Times New Roman"/>
          <w:bCs/>
          <w:sz w:val="24"/>
          <w:szCs w:val="24"/>
        </w:rPr>
        <w:t>il</w:t>
      </w:r>
      <w:r w:rsidR="00A3567A" w:rsidRPr="00DA725A">
        <w:rPr>
          <w:rFonts w:ascii="Times New Roman" w:hAnsi="Times New Roman" w:cs="Times New Roman"/>
          <w:bCs/>
          <w:sz w:val="24"/>
          <w:szCs w:val="24"/>
        </w:rPr>
        <w:t xml:space="preserve"> quale </w:t>
      </w:r>
      <w:r w:rsidR="00F774F3">
        <w:rPr>
          <w:rFonts w:ascii="Times New Roman" w:hAnsi="Times New Roman" w:cs="Times New Roman"/>
          <w:bCs/>
          <w:sz w:val="24"/>
          <w:szCs w:val="24"/>
        </w:rPr>
        <w:t xml:space="preserve">il </w:t>
      </w:r>
      <w:proofErr w:type="spellStart"/>
      <w:r w:rsidR="00F774F3">
        <w:rPr>
          <w:rFonts w:ascii="Times New Roman" w:hAnsi="Times New Roman" w:cs="Times New Roman"/>
          <w:bCs/>
          <w:sz w:val="24"/>
          <w:szCs w:val="24"/>
        </w:rPr>
        <w:t>g.e</w:t>
      </w:r>
      <w:proofErr w:type="spellEnd"/>
      <w:r w:rsidR="00F774F3">
        <w:rPr>
          <w:rFonts w:ascii="Times New Roman" w:hAnsi="Times New Roman" w:cs="Times New Roman"/>
          <w:bCs/>
          <w:sz w:val="24"/>
          <w:szCs w:val="24"/>
        </w:rPr>
        <w:t>.</w:t>
      </w:r>
      <w:r w:rsidR="00A3567A" w:rsidRPr="00DA725A">
        <w:rPr>
          <w:rFonts w:ascii="Times New Roman" w:hAnsi="Times New Roman" w:cs="Times New Roman"/>
          <w:bCs/>
          <w:sz w:val="24"/>
          <w:szCs w:val="24"/>
        </w:rPr>
        <w:t xml:space="preserve"> conferirà la </w:t>
      </w:r>
      <w:r w:rsidR="00F774F3">
        <w:rPr>
          <w:rFonts w:ascii="Times New Roman" w:hAnsi="Times New Roman" w:cs="Times New Roman"/>
          <w:bCs/>
          <w:sz w:val="24"/>
          <w:szCs w:val="24"/>
        </w:rPr>
        <w:t>stessa</w:t>
      </w:r>
      <w:r w:rsidR="00A3567A" w:rsidRPr="00DA725A">
        <w:rPr>
          <w:rFonts w:ascii="Times New Roman" w:hAnsi="Times New Roman" w:cs="Times New Roman"/>
          <w:bCs/>
          <w:sz w:val="24"/>
          <w:szCs w:val="24"/>
        </w:rPr>
        <w:t xml:space="preserve"> ad un altro professionista o la rinnoverà al medesimo; un rinnovo della delega o dell’ordinanza è altresì presupposto dalle ipotesi previste dall’art.591, 2° co., </w:t>
      </w:r>
      <w:proofErr w:type="spellStart"/>
      <w:r w:rsidR="00A3567A" w:rsidRPr="00DA725A">
        <w:rPr>
          <w:rFonts w:ascii="Times New Roman" w:hAnsi="Times New Roman" w:cs="Times New Roman"/>
          <w:bCs/>
          <w:sz w:val="24"/>
          <w:szCs w:val="24"/>
        </w:rPr>
        <w:t>cpc</w:t>
      </w:r>
      <w:proofErr w:type="spellEnd"/>
      <w:r w:rsidR="00A3567A" w:rsidRPr="00DA725A">
        <w:rPr>
          <w:rFonts w:ascii="Times New Roman" w:hAnsi="Times New Roman" w:cs="Times New Roman"/>
          <w:bCs/>
          <w:sz w:val="24"/>
          <w:szCs w:val="24"/>
        </w:rPr>
        <w:t>. Orbene in questi casi</w:t>
      </w:r>
      <w:r w:rsidR="00062AC2">
        <w:rPr>
          <w:rFonts w:ascii="Times New Roman" w:hAnsi="Times New Roman" w:cs="Times New Roman"/>
          <w:bCs/>
          <w:sz w:val="24"/>
          <w:szCs w:val="24"/>
        </w:rPr>
        <w:t xml:space="preserve"> e in ogni altro in cui per qualsiasi ragione il giudice debba emettere una nuova ordinanza di vendita</w:t>
      </w:r>
      <w:r w:rsidR="00A3567A" w:rsidRPr="00DA725A">
        <w:rPr>
          <w:rFonts w:ascii="Times New Roman" w:hAnsi="Times New Roman" w:cs="Times New Roman"/>
          <w:bCs/>
          <w:sz w:val="24"/>
          <w:szCs w:val="24"/>
        </w:rPr>
        <w:t xml:space="preserve"> </w:t>
      </w:r>
      <w:r w:rsidR="00102C64">
        <w:rPr>
          <w:rFonts w:ascii="Times New Roman" w:hAnsi="Times New Roman" w:cs="Times New Roman"/>
          <w:bCs/>
          <w:sz w:val="24"/>
          <w:szCs w:val="24"/>
        </w:rPr>
        <w:t>a partire d</w:t>
      </w:r>
      <w:r w:rsidR="00A3567A" w:rsidRPr="00DA725A">
        <w:rPr>
          <w:rFonts w:ascii="Times New Roman" w:hAnsi="Times New Roman" w:cs="Times New Roman"/>
          <w:bCs/>
          <w:sz w:val="24"/>
          <w:szCs w:val="24"/>
        </w:rPr>
        <w:t>alla data sopra indicata, si dovranno disporre le vendite  in forma telematica.</w:t>
      </w:r>
      <w:r w:rsidR="00717926">
        <w:rPr>
          <w:rFonts w:ascii="Times New Roman" w:hAnsi="Times New Roman" w:cs="Times New Roman"/>
          <w:bCs/>
          <w:sz w:val="24"/>
          <w:szCs w:val="24"/>
        </w:rPr>
        <w:t xml:space="preserve"> </w:t>
      </w:r>
      <w:r w:rsidR="001E3655">
        <w:rPr>
          <w:rFonts w:ascii="Times New Roman" w:hAnsi="Times New Roman" w:cs="Times New Roman"/>
          <w:bCs/>
          <w:sz w:val="24"/>
          <w:szCs w:val="24"/>
        </w:rPr>
        <w:t>In</w:t>
      </w:r>
      <w:r w:rsidR="00717926">
        <w:rPr>
          <w:rFonts w:ascii="Times New Roman" w:hAnsi="Times New Roman" w:cs="Times New Roman"/>
          <w:bCs/>
          <w:sz w:val="24"/>
          <w:szCs w:val="24"/>
        </w:rPr>
        <w:t xml:space="preserve"> particolare</w:t>
      </w:r>
      <w:r w:rsidR="001E3655">
        <w:rPr>
          <w:rFonts w:ascii="Times New Roman" w:hAnsi="Times New Roman" w:cs="Times New Roman"/>
          <w:bCs/>
          <w:sz w:val="24"/>
          <w:szCs w:val="24"/>
        </w:rPr>
        <w:t xml:space="preserve"> deve osservarsi come</w:t>
      </w:r>
      <w:r w:rsidR="00717926">
        <w:rPr>
          <w:rFonts w:ascii="Times New Roman" w:hAnsi="Times New Roman" w:cs="Times New Roman"/>
          <w:bCs/>
          <w:sz w:val="24"/>
          <w:szCs w:val="24"/>
        </w:rPr>
        <w:t xml:space="preserve"> la </w:t>
      </w:r>
      <w:r w:rsidR="001E3655">
        <w:rPr>
          <w:rFonts w:ascii="Times New Roman" w:hAnsi="Times New Roman" w:cs="Times New Roman"/>
          <w:bCs/>
          <w:sz w:val="24"/>
          <w:szCs w:val="24"/>
        </w:rPr>
        <w:t xml:space="preserve">citata </w:t>
      </w:r>
      <w:r w:rsidR="00717926">
        <w:rPr>
          <w:rFonts w:ascii="Times New Roman" w:hAnsi="Times New Roman" w:cs="Times New Roman"/>
          <w:bCs/>
          <w:sz w:val="24"/>
          <w:szCs w:val="24"/>
        </w:rPr>
        <w:t xml:space="preserve">normativa recante disciplina dell’entrata in vigore della vendita telematica allude alle vendite disposte dal giudice o dal professionista delegato, ma poiché per contro la scelta della tipologia di vendita telematica (di cui si vedrà) non può che essere rimessa al giudice stesso, pare allo stato legittimo ritenere che, se dopo la data di entrata in vigore si debba procedere alla celebrazione di nuova asta, gli atti andrebbero rimessi al giudice da parte del professionista affinché il primo disponga la vendita secondo la modalità ritenuta più opportuna. E’ ovvio che, per evitare confusioni o “ingorghi”, nulla impedirà proprio in questi casi al </w:t>
      </w:r>
      <w:proofErr w:type="spellStart"/>
      <w:r w:rsidR="00717926">
        <w:rPr>
          <w:rFonts w:ascii="Times New Roman" w:hAnsi="Times New Roman" w:cs="Times New Roman"/>
          <w:bCs/>
          <w:sz w:val="24"/>
          <w:szCs w:val="24"/>
        </w:rPr>
        <w:t>g.e</w:t>
      </w:r>
      <w:proofErr w:type="spellEnd"/>
      <w:r w:rsidR="00717926">
        <w:rPr>
          <w:rFonts w:ascii="Times New Roman" w:hAnsi="Times New Roman" w:cs="Times New Roman"/>
          <w:bCs/>
          <w:sz w:val="24"/>
          <w:szCs w:val="24"/>
        </w:rPr>
        <w:t xml:space="preserve">., preferibilmente dopo una delibera ex art.47 </w:t>
      </w:r>
      <w:r w:rsidR="00717926">
        <w:rPr>
          <w:rFonts w:ascii="Times New Roman" w:hAnsi="Times New Roman" w:cs="Times New Roman"/>
          <w:bCs/>
          <w:i/>
          <w:sz w:val="24"/>
          <w:szCs w:val="24"/>
        </w:rPr>
        <w:t xml:space="preserve">quater </w:t>
      </w:r>
      <w:proofErr w:type="spellStart"/>
      <w:r w:rsidR="00717926">
        <w:rPr>
          <w:rFonts w:ascii="Times New Roman" w:hAnsi="Times New Roman" w:cs="Times New Roman"/>
          <w:bCs/>
          <w:sz w:val="24"/>
          <w:szCs w:val="24"/>
        </w:rPr>
        <w:t>ord</w:t>
      </w:r>
      <w:proofErr w:type="spellEnd"/>
      <w:r w:rsidR="00717926">
        <w:rPr>
          <w:rFonts w:ascii="Times New Roman" w:hAnsi="Times New Roman" w:cs="Times New Roman"/>
          <w:bCs/>
          <w:sz w:val="24"/>
          <w:szCs w:val="24"/>
        </w:rPr>
        <w:t xml:space="preserve">. </w:t>
      </w:r>
      <w:proofErr w:type="spellStart"/>
      <w:r w:rsidR="00717926">
        <w:rPr>
          <w:rFonts w:ascii="Times New Roman" w:hAnsi="Times New Roman" w:cs="Times New Roman"/>
          <w:bCs/>
          <w:sz w:val="24"/>
          <w:szCs w:val="24"/>
        </w:rPr>
        <w:t>giud</w:t>
      </w:r>
      <w:proofErr w:type="spellEnd"/>
      <w:r w:rsidR="00717926">
        <w:rPr>
          <w:rFonts w:ascii="Times New Roman" w:hAnsi="Times New Roman" w:cs="Times New Roman"/>
          <w:bCs/>
          <w:sz w:val="24"/>
          <w:szCs w:val="24"/>
        </w:rPr>
        <w:t xml:space="preserve">., di decidere, grazie alla salvezza contenuta nell’inciso di cui all’art.569, 4° co., </w:t>
      </w:r>
      <w:proofErr w:type="spellStart"/>
      <w:r w:rsidR="00717926">
        <w:rPr>
          <w:rFonts w:ascii="Times New Roman" w:hAnsi="Times New Roman" w:cs="Times New Roman"/>
          <w:bCs/>
          <w:sz w:val="24"/>
          <w:szCs w:val="24"/>
        </w:rPr>
        <w:t>cpc</w:t>
      </w:r>
      <w:proofErr w:type="spellEnd"/>
      <w:r w:rsidR="00717926">
        <w:rPr>
          <w:rFonts w:ascii="Times New Roman" w:hAnsi="Times New Roman" w:cs="Times New Roman"/>
          <w:bCs/>
          <w:sz w:val="24"/>
          <w:szCs w:val="24"/>
        </w:rPr>
        <w:t xml:space="preserve">, di cui si dirà, di mantenere le pregresse modalità analogiche fino all’esaurimento della delega. </w:t>
      </w:r>
    </w:p>
    <w:p w:rsidR="000A58B9" w:rsidRDefault="000A58B9" w:rsidP="00403302">
      <w:pPr>
        <w:spacing w:line="240" w:lineRule="auto"/>
        <w:jc w:val="both"/>
        <w:rPr>
          <w:rFonts w:ascii="Times New Roman" w:hAnsi="Times New Roman" w:cs="Times New Roman"/>
          <w:bCs/>
          <w:sz w:val="24"/>
          <w:szCs w:val="24"/>
        </w:rPr>
      </w:pPr>
      <w:r w:rsidRPr="00DA725A">
        <w:rPr>
          <w:rFonts w:ascii="Times New Roman" w:hAnsi="Times New Roman" w:cs="Times New Roman"/>
          <w:bCs/>
          <w:sz w:val="24"/>
          <w:szCs w:val="24"/>
        </w:rPr>
        <w:t>Per quanto si riferisce invece alle vendite mobiliari, l’entrata in vigore è prevista decorsi trenta giorni dall</w:t>
      </w:r>
      <w:r w:rsidR="007F76C7">
        <w:rPr>
          <w:rFonts w:ascii="Times New Roman" w:hAnsi="Times New Roman" w:cs="Times New Roman"/>
          <w:bCs/>
          <w:sz w:val="24"/>
          <w:szCs w:val="24"/>
        </w:rPr>
        <w:t>a pubblicazione sulla Gazzetta Ufficiale</w:t>
      </w:r>
      <w:r w:rsidRPr="00DA725A">
        <w:rPr>
          <w:rFonts w:ascii="Times New Roman" w:hAnsi="Times New Roman" w:cs="Times New Roman"/>
          <w:bCs/>
          <w:sz w:val="24"/>
          <w:szCs w:val="24"/>
        </w:rPr>
        <w:t xml:space="preserve"> delle specifiche tecniche relative al portale delle vendite giudiziarie, di cui all’art.161 </w:t>
      </w:r>
      <w:r w:rsidRPr="007D1A01">
        <w:rPr>
          <w:rFonts w:ascii="Times New Roman" w:hAnsi="Times New Roman" w:cs="Times New Roman"/>
          <w:bCs/>
          <w:i/>
          <w:sz w:val="24"/>
          <w:szCs w:val="24"/>
        </w:rPr>
        <w:t>quater</w:t>
      </w:r>
      <w:r w:rsidRPr="00DA725A">
        <w:rPr>
          <w:rFonts w:ascii="Times New Roman" w:hAnsi="Times New Roman" w:cs="Times New Roman"/>
          <w:bCs/>
          <w:sz w:val="24"/>
          <w:szCs w:val="24"/>
        </w:rPr>
        <w:t xml:space="preserve">, 1° co., </w:t>
      </w:r>
      <w:proofErr w:type="spellStart"/>
      <w:r w:rsidRPr="00DA725A">
        <w:rPr>
          <w:rFonts w:ascii="Times New Roman" w:hAnsi="Times New Roman" w:cs="Times New Roman"/>
          <w:bCs/>
          <w:sz w:val="24"/>
          <w:szCs w:val="24"/>
        </w:rPr>
        <w:t>disp</w:t>
      </w:r>
      <w:proofErr w:type="spellEnd"/>
      <w:r w:rsidRPr="00DA725A">
        <w:rPr>
          <w:rFonts w:ascii="Times New Roman" w:hAnsi="Times New Roman" w:cs="Times New Roman"/>
          <w:bCs/>
          <w:sz w:val="24"/>
          <w:szCs w:val="24"/>
        </w:rPr>
        <w:t xml:space="preserve">. </w:t>
      </w:r>
      <w:proofErr w:type="spellStart"/>
      <w:r w:rsidRPr="00DA725A">
        <w:rPr>
          <w:rFonts w:ascii="Times New Roman" w:hAnsi="Times New Roman" w:cs="Times New Roman"/>
          <w:bCs/>
          <w:sz w:val="24"/>
          <w:szCs w:val="24"/>
        </w:rPr>
        <w:t>att</w:t>
      </w:r>
      <w:proofErr w:type="spellEnd"/>
      <w:r w:rsidRPr="00DA725A">
        <w:rPr>
          <w:rFonts w:ascii="Times New Roman" w:hAnsi="Times New Roman" w:cs="Times New Roman"/>
          <w:bCs/>
          <w:sz w:val="24"/>
          <w:szCs w:val="24"/>
        </w:rPr>
        <w:t xml:space="preserve">. </w:t>
      </w:r>
      <w:proofErr w:type="spellStart"/>
      <w:r w:rsidRPr="00DA725A">
        <w:rPr>
          <w:rFonts w:ascii="Times New Roman" w:hAnsi="Times New Roman" w:cs="Times New Roman"/>
          <w:bCs/>
          <w:sz w:val="24"/>
          <w:szCs w:val="24"/>
        </w:rPr>
        <w:t>cpc</w:t>
      </w:r>
      <w:proofErr w:type="spellEnd"/>
      <w:r w:rsidRPr="00DA725A">
        <w:rPr>
          <w:rFonts w:ascii="Times New Roman" w:hAnsi="Times New Roman" w:cs="Times New Roman"/>
          <w:bCs/>
          <w:sz w:val="24"/>
          <w:szCs w:val="24"/>
        </w:rPr>
        <w:t xml:space="preserve">, così come </w:t>
      </w:r>
      <w:r w:rsidRPr="00E32E73">
        <w:rPr>
          <w:rFonts w:ascii="Times New Roman" w:hAnsi="Times New Roman" w:cs="Times New Roman"/>
          <w:bCs/>
          <w:sz w:val="24"/>
          <w:szCs w:val="24"/>
        </w:rPr>
        <w:t xml:space="preserve">previsto dall’art.23, 2° co., </w:t>
      </w:r>
      <w:proofErr w:type="spellStart"/>
      <w:r w:rsidRPr="00E32E73">
        <w:rPr>
          <w:rFonts w:ascii="Times New Roman" w:hAnsi="Times New Roman" w:cs="Times New Roman"/>
          <w:bCs/>
          <w:sz w:val="24"/>
          <w:szCs w:val="24"/>
        </w:rPr>
        <w:t>d.l.</w:t>
      </w:r>
      <w:proofErr w:type="spellEnd"/>
      <w:r w:rsidRPr="00E32E73">
        <w:rPr>
          <w:rFonts w:ascii="Times New Roman" w:hAnsi="Times New Roman" w:cs="Times New Roman"/>
          <w:bCs/>
          <w:sz w:val="24"/>
          <w:szCs w:val="24"/>
        </w:rPr>
        <w:t xml:space="preserve"> 83/2015 convertito nella l. 132/2015. Specifiche tecniche </w:t>
      </w:r>
      <w:r w:rsidR="007F76C7">
        <w:rPr>
          <w:rFonts w:ascii="Times New Roman" w:hAnsi="Times New Roman" w:cs="Times New Roman"/>
          <w:bCs/>
          <w:sz w:val="24"/>
          <w:szCs w:val="24"/>
        </w:rPr>
        <w:t xml:space="preserve">che finora sono solo pubblicate, </w:t>
      </w:r>
      <w:r w:rsidRPr="00E32E73">
        <w:rPr>
          <w:rFonts w:ascii="Times New Roman" w:hAnsi="Times New Roman" w:cs="Times New Roman"/>
          <w:bCs/>
          <w:sz w:val="24"/>
          <w:szCs w:val="24"/>
        </w:rPr>
        <w:t xml:space="preserve"> </w:t>
      </w:r>
      <w:r w:rsidR="00FF76E5" w:rsidRPr="00E32E73">
        <w:rPr>
          <w:rFonts w:ascii="Times New Roman" w:hAnsi="Times New Roman" w:cs="Times New Roman"/>
          <w:bCs/>
          <w:sz w:val="24"/>
          <w:szCs w:val="24"/>
        </w:rPr>
        <w:t xml:space="preserve">anch’esse </w:t>
      </w:r>
      <w:r w:rsidR="007F76C7">
        <w:rPr>
          <w:rFonts w:ascii="Times New Roman" w:hAnsi="Times New Roman" w:cs="Times New Roman"/>
          <w:bCs/>
          <w:sz w:val="24"/>
          <w:szCs w:val="24"/>
        </w:rPr>
        <w:t>da</w:t>
      </w:r>
      <w:r w:rsidR="00FF76E5" w:rsidRPr="00E32E73">
        <w:rPr>
          <w:rFonts w:ascii="Times New Roman" w:hAnsi="Times New Roman" w:cs="Times New Roman"/>
          <w:bCs/>
          <w:sz w:val="24"/>
          <w:szCs w:val="24"/>
        </w:rPr>
        <w:t>l 28 giugno</w:t>
      </w:r>
      <w:r w:rsidRPr="00E32E73">
        <w:rPr>
          <w:rFonts w:ascii="Times New Roman" w:hAnsi="Times New Roman" w:cs="Times New Roman"/>
          <w:bCs/>
          <w:sz w:val="24"/>
          <w:szCs w:val="24"/>
        </w:rPr>
        <w:t xml:space="preserve"> 2017</w:t>
      </w:r>
      <w:r w:rsidR="007F76C7">
        <w:rPr>
          <w:rFonts w:ascii="Times New Roman" w:hAnsi="Times New Roman" w:cs="Times New Roman"/>
          <w:bCs/>
          <w:sz w:val="24"/>
          <w:szCs w:val="24"/>
        </w:rPr>
        <w:t>, sul sito Giustizia</w:t>
      </w:r>
      <w:r w:rsidRPr="00E32E73">
        <w:rPr>
          <w:rFonts w:ascii="Times New Roman" w:hAnsi="Times New Roman" w:cs="Times New Roman"/>
          <w:bCs/>
          <w:sz w:val="24"/>
          <w:szCs w:val="24"/>
        </w:rPr>
        <w:t xml:space="preserve"> a cura del citato D.G.S.I.A.</w:t>
      </w:r>
    </w:p>
    <w:p w:rsidR="007F76C7" w:rsidRPr="00E32E73" w:rsidRDefault="007F76C7" w:rsidP="0040330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Analoga disposizione vale per l’obbligatorietà del portale delle vendite a fini pubblicitari</w:t>
      </w:r>
    </w:p>
    <w:p w:rsidR="00FF76E5" w:rsidRPr="00DA725A" w:rsidRDefault="00FF76E5" w:rsidP="00403302">
      <w:pPr>
        <w:spacing w:line="240" w:lineRule="auto"/>
        <w:jc w:val="both"/>
        <w:rPr>
          <w:rFonts w:ascii="Times New Roman" w:hAnsi="Times New Roman" w:cs="Times New Roman"/>
          <w:bCs/>
          <w:sz w:val="24"/>
          <w:szCs w:val="24"/>
        </w:rPr>
      </w:pPr>
    </w:p>
    <w:p w:rsidR="00FF76E5" w:rsidRPr="00FF76E5" w:rsidRDefault="00FF76E5" w:rsidP="00403302">
      <w:pPr>
        <w:spacing w:line="240" w:lineRule="auto"/>
        <w:jc w:val="both"/>
        <w:rPr>
          <w:rFonts w:ascii="Times New Roman" w:hAnsi="Times New Roman" w:cs="Times New Roman"/>
          <w:b/>
          <w:bCs/>
          <w:sz w:val="24"/>
          <w:szCs w:val="24"/>
        </w:rPr>
      </w:pPr>
      <w:r w:rsidRPr="00FF76E5">
        <w:rPr>
          <w:rFonts w:ascii="Times New Roman" w:hAnsi="Times New Roman" w:cs="Times New Roman"/>
          <w:b/>
          <w:bCs/>
          <w:sz w:val="24"/>
          <w:szCs w:val="24"/>
        </w:rPr>
        <w:lastRenderedPageBreak/>
        <w:t xml:space="preserve">3. LE </w:t>
      </w:r>
      <w:r w:rsidR="00BB6A5E">
        <w:rPr>
          <w:rFonts w:ascii="Times New Roman" w:hAnsi="Times New Roman" w:cs="Times New Roman"/>
          <w:b/>
          <w:bCs/>
          <w:sz w:val="24"/>
          <w:szCs w:val="24"/>
        </w:rPr>
        <w:t>TIPOLIGIE</w:t>
      </w:r>
      <w:r w:rsidRPr="00FF76E5">
        <w:rPr>
          <w:rFonts w:ascii="Times New Roman" w:hAnsi="Times New Roman" w:cs="Times New Roman"/>
          <w:b/>
          <w:bCs/>
          <w:sz w:val="24"/>
          <w:szCs w:val="24"/>
        </w:rPr>
        <w:t xml:space="preserve"> DI VENDITA</w:t>
      </w:r>
    </w:p>
    <w:p w:rsidR="00CF69B3" w:rsidRPr="00DA725A" w:rsidRDefault="00CF69B3" w:rsidP="00403302">
      <w:pPr>
        <w:spacing w:line="240" w:lineRule="auto"/>
        <w:jc w:val="both"/>
        <w:rPr>
          <w:rFonts w:ascii="Times New Roman" w:hAnsi="Times New Roman" w:cs="Times New Roman"/>
          <w:bCs/>
          <w:sz w:val="24"/>
          <w:szCs w:val="24"/>
        </w:rPr>
      </w:pPr>
      <w:r w:rsidRPr="00DA725A">
        <w:rPr>
          <w:rFonts w:ascii="Times New Roman" w:hAnsi="Times New Roman" w:cs="Times New Roman"/>
          <w:bCs/>
          <w:sz w:val="24"/>
          <w:szCs w:val="24"/>
        </w:rPr>
        <w:t xml:space="preserve">Il </w:t>
      </w:r>
      <w:r w:rsidR="00102C64">
        <w:rPr>
          <w:rFonts w:ascii="Times New Roman" w:hAnsi="Times New Roman" w:cs="Times New Roman"/>
          <w:bCs/>
          <w:sz w:val="24"/>
          <w:szCs w:val="24"/>
        </w:rPr>
        <w:t>suddetto</w:t>
      </w:r>
      <w:r w:rsidRPr="00DA725A">
        <w:rPr>
          <w:rFonts w:ascii="Times New Roman" w:hAnsi="Times New Roman" w:cs="Times New Roman"/>
          <w:bCs/>
          <w:sz w:val="24"/>
          <w:szCs w:val="24"/>
        </w:rPr>
        <w:t xml:space="preserve"> </w:t>
      </w:r>
      <w:proofErr w:type="spellStart"/>
      <w:r w:rsidRPr="00DA725A">
        <w:rPr>
          <w:rFonts w:ascii="Times New Roman" w:hAnsi="Times New Roman" w:cs="Times New Roman"/>
          <w:bCs/>
          <w:sz w:val="24"/>
          <w:szCs w:val="24"/>
        </w:rPr>
        <w:t>d.m.</w:t>
      </w:r>
      <w:proofErr w:type="spellEnd"/>
      <w:r w:rsidRPr="00DA725A">
        <w:rPr>
          <w:rFonts w:ascii="Times New Roman" w:hAnsi="Times New Roman" w:cs="Times New Roman"/>
          <w:bCs/>
          <w:sz w:val="24"/>
          <w:szCs w:val="24"/>
        </w:rPr>
        <w:t xml:space="preserve"> del 2015 ha previsto tre possibili modalità di celebrazione dell’asta, e cioè quella sincrona, quella asincrona e quella mista.</w:t>
      </w:r>
    </w:p>
    <w:p w:rsidR="00CF69B3" w:rsidRPr="00DA725A" w:rsidRDefault="00CF69B3" w:rsidP="00403302">
      <w:pPr>
        <w:spacing w:line="240" w:lineRule="auto"/>
        <w:jc w:val="both"/>
        <w:rPr>
          <w:rFonts w:ascii="Times New Roman" w:hAnsi="Times New Roman" w:cs="Times New Roman"/>
          <w:bCs/>
          <w:sz w:val="24"/>
          <w:szCs w:val="24"/>
        </w:rPr>
      </w:pPr>
      <w:r w:rsidRPr="00DA725A">
        <w:rPr>
          <w:rFonts w:ascii="Times New Roman" w:hAnsi="Times New Roman" w:cs="Times New Roman"/>
          <w:bCs/>
          <w:sz w:val="24"/>
          <w:szCs w:val="24"/>
        </w:rPr>
        <w:t xml:space="preserve">L’asta sincrona </w:t>
      </w:r>
      <w:r w:rsidR="00DD2FAF" w:rsidRPr="00DA725A">
        <w:rPr>
          <w:rFonts w:ascii="Times New Roman" w:hAnsi="Times New Roman" w:cs="Times New Roman"/>
          <w:bCs/>
          <w:sz w:val="24"/>
          <w:szCs w:val="24"/>
        </w:rPr>
        <w:t xml:space="preserve"> (art.21 del decreto)</w:t>
      </w:r>
      <w:r w:rsidRPr="00DA725A">
        <w:rPr>
          <w:rFonts w:ascii="Times New Roman" w:hAnsi="Times New Roman" w:cs="Times New Roman"/>
          <w:bCs/>
          <w:sz w:val="24"/>
          <w:szCs w:val="24"/>
        </w:rPr>
        <w:t xml:space="preserve"> consiste nello svolgimento dell’asta nella medesima unità temporale con la simultanea connessione del referente della procedura (cioè nel linguaggio del decreto,</w:t>
      </w:r>
      <w:r w:rsidR="00102C64">
        <w:rPr>
          <w:rFonts w:ascii="Times New Roman" w:hAnsi="Times New Roman" w:cs="Times New Roman"/>
          <w:bCs/>
          <w:sz w:val="24"/>
          <w:szCs w:val="24"/>
        </w:rPr>
        <w:t xml:space="preserve"> essenzialmente</w:t>
      </w:r>
      <w:r w:rsidRPr="00DA725A">
        <w:rPr>
          <w:rFonts w:ascii="Times New Roman" w:hAnsi="Times New Roman" w:cs="Times New Roman"/>
          <w:bCs/>
          <w:sz w:val="24"/>
          <w:szCs w:val="24"/>
        </w:rPr>
        <w:t xml:space="preserve"> il delegato) e degli offerenti (quelli almeno che intendono seguire la gara).</w:t>
      </w:r>
    </w:p>
    <w:p w:rsidR="00CF69B3" w:rsidRPr="00DA725A" w:rsidRDefault="00CF69B3" w:rsidP="00403302">
      <w:pPr>
        <w:spacing w:line="240" w:lineRule="auto"/>
        <w:jc w:val="both"/>
        <w:rPr>
          <w:rFonts w:ascii="Times New Roman" w:hAnsi="Times New Roman" w:cs="Times New Roman"/>
          <w:bCs/>
          <w:sz w:val="24"/>
          <w:szCs w:val="24"/>
        </w:rPr>
      </w:pPr>
      <w:r w:rsidRPr="00DA725A">
        <w:rPr>
          <w:rFonts w:ascii="Times New Roman" w:hAnsi="Times New Roman" w:cs="Times New Roman"/>
          <w:bCs/>
          <w:sz w:val="24"/>
          <w:szCs w:val="24"/>
        </w:rPr>
        <w:t xml:space="preserve">L’asta asincrona </w:t>
      </w:r>
      <w:r w:rsidR="00DD2FAF" w:rsidRPr="00DA725A">
        <w:rPr>
          <w:rFonts w:ascii="Times New Roman" w:hAnsi="Times New Roman" w:cs="Times New Roman"/>
          <w:bCs/>
          <w:sz w:val="24"/>
          <w:szCs w:val="24"/>
        </w:rPr>
        <w:t xml:space="preserve">(art. 24 del decreto) </w:t>
      </w:r>
      <w:r w:rsidRPr="00DA725A">
        <w:rPr>
          <w:rFonts w:ascii="Times New Roman" w:hAnsi="Times New Roman" w:cs="Times New Roman"/>
          <w:bCs/>
          <w:sz w:val="24"/>
          <w:szCs w:val="24"/>
        </w:rPr>
        <w:t xml:space="preserve">consiste invece nello svolgimento dell’asta in un arco temporale predeterminato e senza connessione simultanea. Si tratta insomma del “sistema </w:t>
      </w:r>
      <w:r w:rsidRPr="00C2690F">
        <w:rPr>
          <w:rFonts w:ascii="Times New Roman" w:hAnsi="Times New Roman" w:cs="Times New Roman"/>
          <w:bCs/>
          <w:i/>
          <w:sz w:val="24"/>
          <w:szCs w:val="24"/>
        </w:rPr>
        <w:t>e-</w:t>
      </w:r>
      <w:proofErr w:type="spellStart"/>
      <w:r w:rsidRPr="00C2690F">
        <w:rPr>
          <w:rFonts w:ascii="Times New Roman" w:hAnsi="Times New Roman" w:cs="Times New Roman"/>
          <w:bCs/>
          <w:i/>
          <w:sz w:val="24"/>
          <w:szCs w:val="24"/>
        </w:rPr>
        <w:t>bay</w:t>
      </w:r>
      <w:proofErr w:type="spellEnd"/>
      <w:r w:rsidRPr="00DA725A">
        <w:rPr>
          <w:rFonts w:ascii="Times New Roman" w:hAnsi="Times New Roman" w:cs="Times New Roman"/>
          <w:bCs/>
          <w:sz w:val="24"/>
          <w:szCs w:val="24"/>
        </w:rPr>
        <w:t>”</w:t>
      </w:r>
    </w:p>
    <w:p w:rsidR="00CF69B3" w:rsidRPr="00DA725A" w:rsidRDefault="00CF69B3"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Questi due sistemi, apparentemente semplici nella loro descrizione, presuppongono che tutt</w:t>
      </w:r>
      <w:r w:rsidR="00530EEE">
        <w:rPr>
          <w:rFonts w:ascii="Times New Roman" w:hAnsi="Times New Roman" w:cs="Times New Roman"/>
          <w:sz w:val="24"/>
          <w:szCs w:val="24"/>
        </w:rPr>
        <w:t xml:space="preserve">i i </w:t>
      </w:r>
      <w:r w:rsidR="00062AC2">
        <w:rPr>
          <w:rFonts w:ascii="Times New Roman" w:hAnsi="Times New Roman" w:cs="Times New Roman"/>
          <w:sz w:val="24"/>
          <w:szCs w:val="24"/>
        </w:rPr>
        <w:t>r</w:t>
      </w:r>
      <w:r w:rsidR="00530EEE">
        <w:rPr>
          <w:rFonts w:ascii="Times New Roman" w:hAnsi="Times New Roman" w:cs="Times New Roman"/>
          <w:sz w:val="24"/>
          <w:szCs w:val="24"/>
        </w:rPr>
        <w:t>ilanci</w:t>
      </w:r>
      <w:r w:rsidRPr="00DA725A">
        <w:rPr>
          <w:rFonts w:ascii="Times New Roman" w:hAnsi="Times New Roman" w:cs="Times New Roman"/>
          <w:sz w:val="24"/>
          <w:szCs w:val="24"/>
        </w:rPr>
        <w:t xml:space="preserve"> in corso d’asta, nonché la presentazione dell’offerta</w:t>
      </w:r>
      <w:r w:rsidR="00041119">
        <w:rPr>
          <w:rFonts w:ascii="Times New Roman" w:hAnsi="Times New Roman" w:cs="Times New Roman"/>
          <w:sz w:val="24"/>
          <w:szCs w:val="24"/>
        </w:rPr>
        <w:t xml:space="preserve"> (la quale deve essere completa di tutti i dati indicati dall’art.12 del decreto, che in gran parte coincidono con quelli attualmente richiesti per le offerte analogiche, oltre ai dati del bonifico, al numero di telefonia per le comunicazioni previste dal decreto, e ai dati della </w:t>
      </w:r>
      <w:proofErr w:type="spellStart"/>
      <w:r w:rsidR="00041119">
        <w:rPr>
          <w:rFonts w:ascii="Times New Roman" w:hAnsi="Times New Roman" w:cs="Times New Roman"/>
          <w:sz w:val="24"/>
          <w:szCs w:val="24"/>
        </w:rPr>
        <w:t>pec</w:t>
      </w:r>
      <w:proofErr w:type="spellEnd"/>
      <w:r w:rsidR="00041119">
        <w:rPr>
          <w:rFonts w:ascii="Times New Roman" w:hAnsi="Times New Roman" w:cs="Times New Roman"/>
          <w:sz w:val="24"/>
          <w:szCs w:val="24"/>
        </w:rPr>
        <w:t>)</w:t>
      </w:r>
      <w:r w:rsidRPr="00DA725A">
        <w:rPr>
          <w:rFonts w:ascii="Times New Roman" w:hAnsi="Times New Roman" w:cs="Times New Roman"/>
          <w:sz w:val="24"/>
          <w:szCs w:val="24"/>
        </w:rPr>
        <w:t xml:space="preserve"> e il versamento della cauzione</w:t>
      </w:r>
      <w:r w:rsidR="00FF76E5">
        <w:rPr>
          <w:rFonts w:ascii="Times New Roman" w:hAnsi="Times New Roman" w:cs="Times New Roman"/>
          <w:sz w:val="24"/>
          <w:szCs w:val="24"/>
        </w:rPr>
        <w:t xml:space="preserve"> </w:t>
      </w:r>
      <w:r w:rsidRPr="00DA725A">
        <w:rPr>
          <w:rFonts w:ascii="Times New Roman" w:hAnsi="Times New Roman" w:cs="Times New Roman"/>
          <w:sz w:val="24"/>
          <w:szCs w:val="24"/>
        </w:rPr>
        <w:t>avvengano con modalità esclusivamente telematiche.</w:t>
      </w:r>
    </w:p>
    <w:p w:rsidR="00CF69B3" w:rsidRPr="00DA725A" w:rsidRDefault="006E24F6"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Ciò comporta di necessità che gli offerenti siano in grado di utilizzare il mezzo telematico sia per presentare l’offerta, completa di tutti i suoi documenti, sia poi per partecipare all’eventuale gara.</w:t>
      </w:r>
    </w:p>
    <w:p w:rsidR="006E24F6" w:rsidRPr="00DA725A" w:rsidRDefault="006E24F6"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Ma tale </w:t>
      </w:r>
      <w:r w:rsidR="00F774F3">
        <w:rPr>
          <w:rFonts w:ascii="Times New Roman" w:hAnsi="Times New Roman" w:cs="Times New Roman"/>
          <w:sz w:val="24"/>
          <w:szCs w:val="24"/>
        </w:rPr>
        <w:t>mezzo,</w:t>
      </w:r>
      <w:r w:rsidRPr="00DA725A">
        <w:rPr>
          <w:rFonts w:ascii="Times New Roman" w:hAnsi="Times New Roman" w:cs="Times New Roman"/>
          <w:sz w:val="24"/>
          <w:szCs w:val="24"/>
        </w:rPr>
        <w:t xml:space="preserve"> ed in particolare la scelta del riconoscimento a mezzo </w:t>
      </w:r>
      <w:proofErr w:type="spellStart"/>
      <w:r w:rsidRPr="00DA725A">
        <w:rPr>
          <w:rFonts w:ascii="Times New Roman" w:hAnsi="Times New Roman" w:cs="Times New Roman"/>
          <w:sz w:val="24"/>
          <w:szCs w:val="24"/>
        </w:rPr>
        <w:t>pec</w:t>
      </w:r>
      <w:proofErr w:type="spellEnd"/>
      <w:r w:rsidRPr="00DA725A">
        <w:rPr>
          <w:rFonts w:ascii="Times New Roman" w:hAnsi="Times New Roman" w:cs="Times New Roman"/>
          <w:sz w:val="24"/>
          <w:szCs w:val="24"/>
        </w:rPr>
        <w:t xml:space="preserve">, </w:t>
      </w:r>
      <w:r w:rsidR="00102C64">
        <w:rPr>
          <w:rFonts w:ascii="Times New Roman" w:hAnsi="Times New Roman" w:cs="Times New Roman"/>
          <w:sz w:val="24"/>
          <w:szCs w:val="24"/>
        </w:rPr>
        <w:t>fornisce garanzie di “certezza” non assolute e comunque non da tutti giudicate ottimali</w:t>
      </w:r>
      <w:r w:rsidRPr="00DA725A">
        <w:rPr>
          <w:rFonts w:ascii="Times New Roman" w:hAnsi="Times New Roman" w:cs="Times New Roman"/>
          <w:sz w:val="24"/>
          <w:szCs w:val="24"/>
        </w:rPr>
        <w:t>. Infatti</w:t>
      </w:r>
      <w:r w:rsidR="00062AC2">
        <w:rPr>
          <w:rFonts w:ascii="Times New Roman" w:hAnsi="Times New Roman" w:cs="Times New Roman"/>
          <w:sz w:val="24"/>
          <w:szCs w:val="24"/>
        </w:rPr>
        <w:t xml:space="preserve"> in base al</w:t>
      </w:r>
      <w:r w:rsidRPr="00DA725A">
        <w:rPr>
          <w:rFonts w:ascii="Times New Roman" w:hAnsi="Times New Roman" w:cs="Times New Roman"/>
          <w:sz w:val="24"/>
          <w:szCs w:val="24"/>
        </w:rPr>
        <w:t>l’attuale sistema delle vendite forzate al momento dell’asta</w:t>
      </w:r>
      <w:r w:rsidR="00FF76E5">
        <w:rPr>
          <w:rFonts w:ascii="Times New Roman" w:hAnsi="Times New Roman" w:cs="Times New Roman"/>
          <w:sz w:val="24"/>
          <w:szCs w:val="24"/>
        </w:rPr>
        <w:t xml:space="preserve"> e a quello dell’aggiudicazione</w:t>
      </w:r>
      <w:r w:rsidRPr="00DA725A">
        <w:rPr>
          <w:rFonts w:ascii="Times New Roman" w:hAnsi="Times New Roman" w:cs="Times New Roman"/>
          <w:sz w:val="24"/>
          <w:szCs w:val="24"/>
        </w:rPr>
        <w:t xml:space="preserve"> il delegato </w:t>
      </w:r>
      <w:r w:rsidR="00530EEE">
        <w:rPr>
          <w:rFonts w:ascii="Times New Roman" w:hAnsi="Times New Roman" w:cs="Times New Roman"/>
          <w:sz w:val="24"/>
          <w:szCs w:val="24"/>
        </w:rPr>
        <w:t>può</w:t>
      </w:r>
      <w:r w:rsidRPr="00DA725A">
        <w:rPr>
          <w:rFonts w:ascii="Times New Roman" w:hAnsi="Times New Roman" w:cs="Times New Roman"/>
          <w:sz w:val="24"/>
          <w:szCs w:val="24"/>
        </w:rPr>
        <w:t xml:space="preserve"> raffrontare il soggetto intervenuto</w:t>
      </w:r>
      <w:r w:rsidR="00530EEE">
        <w:rPr>
          <w:rFonts w:ascii="Times New Roman" w:hAnsi="Times New Roman" w:cs="Times New Roman"/>
          <w:sz w:val="24"/>
          <w:szCs w:val="24"/>
        </w:rPr>
        <w:t xml:space="preserve"> e l’aggiudicatario</w:t>
      </w:r>
      <w:r w:rsidRPr="00DA725A">
        <w:rPr>
          <w:rFonts w:ascii="Times New Roman" w:hAnsi="Times New Roman" w:cs="Times New Roman"/>
          <w:sz w:val="24"/>
          <w:szCs w:val="24"/>
        </w:rPr>
        <w:t xml:space="preserve"> con i documenti presenti nella busta, e </w:t>
      </w:r>
      <w:r w:rsidR="00530EEE">
        <w:rPr>
          <w:rFonts w:ascii="Times New Roman" w:hAnsi="Times New Roman" w:cs="Times New Roman"/>
          <w:sz w:val="24"/>
          <w:szCs w:val="24"/>
        </w:rPr>
        <w:t xml:space="preserve">in particolare </w:t>
      </w:r>
      <w:r w:rsidR="004070D2">
        <w:rPr>
          <w:rFonts w:ascii="Times New Roman" w:hAnsi="Times New Roman" w:cs="Times New Roman"/>
          <w:sz w:val="24"/>
          <w:szCs w:val="24"/>
        </w:rPr>
        <w:t>ha a disposizione un’offerta sottoscritta</w:t>
      </w:r>
      <w:r w:rsidRPr="00DA725A">
        <w:rPr>
          <w:rFonts w:ascii="Times New Roman" w:hAnsi="Times New Roman" w:cs="Times New Roman"/>
          <w:sz w:val="24"/>
          <w:szCs w:val="24"/>
        </w:rPr>
        <w:t>.  Con l’asta telematica il legislatore secondario</w:t>
      </w:r>
      <w:r w:rsidR="00CF2103">
        <w:rPr>
          <w:rFonts w:ascii="Times New Roman" w:hAnsi="Times New Roman" w:cs="Times New Roman"/>
          <w:sz w:val="24"/>
          <w:szCs w:val="24"/>
        </w:rPr>
        <w:t xml:space="preserve"> – effettuando così </w:t>
      </w:r>
      <w:r w:rsidR="00102C64">
        <w:rPr>
          <w:rFonts w:ascii="Times New Roman" w:hAnsi="Times New Roman" w:cs="Times New Roman"/>
          <w:sz w:val="24"/>
          <w:szCs w:val="24"/>
        </w:rPr>
        <w:t>indubbiamente</w:t>
      </w:r>
      <w:r w:rsidR="00CF2103">
        <w:rPr>
          <w:rFonts w:ascii="Times New Roman" w:hAnsi="Times New Roman" w:cs="Times New Roman"/>
          <w:sz w:val="24"/>
          <w:szCs w:val="24"/>
        </w:rPr>
        <w:t xml:space="preserve"> una scelta non meramente tecnica - </w:t>
      </w:r>
      <w:r w:rsidRPr="00DA725A">
        <w:rPr>
          <w:rFonts w:ascii="Times New Roman" w:hAnsi="Times New Roman" w:cs="Times New Roman"/>
          <w:sz w:val="24"/>
          <w:szCs w:val="24"/>
        </w:rPr>
        <w:t xml:space="preserve">ha deciso che è sufficiente l’autenticazione effettuata da parte del gestore della </w:t>
      </w:r>
      <w:proofErr w:type="spellStart"/>
      <w:r w:rsidRPr="00DA725A">
        <w:rPr>
          <w:rFonts w:ascii="Times New Roman" w:hAnsi="Times New Roman" w:cs="Times New Roman"/>
          <w:sz w:val="24"/>
          <w:szCs w:val="24"/>
        </w:rPr>
        <w:t>pec</w:t>
      </w:r>
      <w:proofErr w:type="spellEnd"/>
      <w:r w:rsidR="00F13C99">
        <w:rPr>
          <w:rFonts w:ascii="Times New Roman" w:hAnsi="Times New Roman" w:cs="Times New Roman"/>
          <w:sz w:val="24"/>
          <w:szCs w:val="24"/>
        </w:rPr>
        <w:t xml:space="preserve"> anch’esso registrato</w:t>
      </w:r>
      <w:r w:rsidR="001F5F4D">
        <w:rPr>
          <w:rFonts w:ascii="Times New Roman" w:hAnsi="Times New Roman" w:cs="Times New Roman"/>
          <w:sz w:val="24"/>
          <w:szCs w:val="24"/>
        </w:rPr>
        <w:t xml:space="preserve"> in uno speciale elenco (§ 3 delle specifiche tecniche relativi ai gestori delle vendite, </w:t>
      </w:r>
      <w:r w:rsidR="00F13C99">
        <w:rPr>
          <w:rFonts w:ascii="Times New Roman" w:hAnsi="Times New Roman" w:cs="Times New Roman"/>
          <w:sz w:val="24"/>
          <w:szCs w:val="24"/>
        </w:rPr>
        <w:t>ma pare che sul mercato attualmente non vi siano simili operatori</w:t>
      </w:r>
      <w:r w:rsidR="001F5F4D">
        <w:rPr>
          <w:rFonts w:ascii="Times New Roman" w:hAnsi="Times New Roman" w:cs="Times New Roman"/>
          <w:sz w:val="24"/>
          <w:szCs w:val="24"/>
        </w:rPr>
        <w:t xml:space="preserve">, per cui allo stato l’unica soluzione per l’offerente sarebbe di essere dotato di </w:t>
      </w:r>
      <w:proofErr w:type="spellStart"/>
      <w:r w:rsidR="001F5F4D">
        <w:rPr>
          <w:rFonts w:ascii="Times New Roman" w:hAnsi="Times New Roman" w:cs="Times New Roman"/>
          <w:sz w:val="24"/>
          <w:szCs w:val="24"/>
        </w:rPr>
        <w:t>pec</w:t>
      </w:r>
      <w:proofErr w:type="spellEnd"/>
      <w:r w:rsidR="001F5F4D">
        <w:rPr>
          <w:rFonts w:ascii="Times New Roman" w:hAnsi="Times New Roman" w:cs="Times New Roman"/>
          <w:sz w:val="24"/>
          <w:szCs w:val="24"/>
        </w:rPr>
        <w:t xml:space="preserve"> e di firma digitale</w:t>
      </w:r>
      <w:r w:rsidR="00F13C99">
        <w:rPr>
          <w:rFonts w:ascii="Times New Roman" w:hAnsi="Times New Roman" w:cs="Times New Roman"/>
          <w:sz w:val="24"/>
          <w:szCs w:val="24"/>
        </w:rPr>
        <w:t>)</w:t>
      </w:r>
      <w:r w:rsidRPr="00DA725A">
        <w:rPr>
          <w:rFonts w:ascii="Times New Roman" w:hAnsi="Times New Roman" w:cs="Times New Roman"/>
          <w:sz w:val="24"/>
          <w:szCs w:val="24"/>
        </w:rPr>
        <w:t>, autenticazione che</w:t>
      </w:r>
      <w:r w:rsidR="00CF2103">
        <w:rPr>
          <w:rFonts w:ascii="Times New Roman" w:hAnsi="Times New Roman" w:cs="Times New Roman"/>
          <w:sz w:val="24"/>
          <w:szCs w:val="24"/>
        </w:rPr>
        <w:t xml:space="preserve"> av</w:t>
      </w:r>
      <w:r w:rsidRPr="00DA725A">
        <w:rPr>
          <w:rFonts w:ascii="Times New Roman" w:hAnsi="Times New Roman" w:cs="Times New Roman"/>
          <w:sz w:val="24"/>
          <w:szCs w:val="24"/>
        </w:rPr>
        <w:t>viene sulla base di una semplice immagine del documento d’identità</w:t>
      </w:r>
      <w:r w:rsidR="00CF2103">
        <w:rPr>
          <w:rFonts w:ascii="Times New Roman" w:hAnsi="Times New Roman" w:cs="Times New Roman"/>
          <w:sz w:val="24"/>
          <w:szCs w:val="24"/>
        </w:rPr>
        <w:t xml:space="preserve"> e senza firma digitale</w:t>
      </w:r>
      <w:r w:rsidR="001C776C">
        <w:rPr>
          <w:rFonts w:ascii="Times New Roman" w:hAnsi="Times New Roman" w:cs="Times New Roman"/>
          <w:sz w:val="24"/>
          <w:szCs w:val="24"/>
        </w:rPr>
        <w:t xml:space="preserve"> (art. 13 del </w:t>
      </w:r>
      <w:proofErr w:type="spellStart"/>
      <w:r w:rsidR="001C776C">
        <w:rPr>
          <w:rFonts w:ascii="Times New Roman" w:hAnsi="Times New Roman" w:cs="Times New Roman"/>
          <w:sz w:val="24"/>
          <w:szCs w:val="24"/>
        </w:rPr>
        <w:t>d.m.</w:t>
      </w:r>
      <w:proofErr w:type="spellEnd"/>
      <w:r w:rsidR="001C776C">
        <w:rPr>
          <w:rFonts w:ascii="Times New Roman" w:hAnsi="Times New Roman" w:cs="Times New Roman"/>
          <w:sz w:val="24"/>
          <w:szCs w:val="24"/>
        </w:rPr>
        <w:t>)</w:t>
      </w:r>
      <w:r w:rsidRPr="00DA725A">
        <w:rPr>
          <w:rFonts w:ascii="Times New Roman" w:hAnsi="Times New Roman" w:cs="Times New Roman"/>
          <w:sz w:val="24"/>
          <w:szCs w:val="24"/>
        </w:rPr>
        <w:t>; situazione che non acquisisce alcuna maggior certezza neppure al momento della gara, in cui l’offerente è solo presente “on line”, ma non fisicamente.</w:t>
      </w:r>
    </w:p>
    <w:p w:rsidR="00F774F3" w:rsidRPr="00DA725A" w:rsidRDefault="00F774F3"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Inoltre </w:t>
      </w:r>
      <w:r w:rsidRPr="00DA725A">
        <w:rPr>
          <w:rFonts w:ascii="Times New Roman" w:hAnsi="Times New Roman" w:cs="Times New Roman"/>
          <w:sz w:val="24"/>
          <w:szCs w:val="24"/>
        </w:rPr>
        <w:t xml:space="preserve">la </w:t>
      </w:r>
      <w:r>
        <w:rPr>
          <w:rFonts w:ascii="Times New Roman" w:hAnsi="Times New Roman" w:cs="Times New Roman"/>
          <w:sz w:val="24"/>
          <w:szCs w:val="24"/>
        </w:rPr>
        <w:t xml:space="preserve">forma </w:t>
      </w:r>
      <w:r w:rsidRPr="00DA725A">
        <w:rPr>
          <w:rFonts w:ascii="Times New Roman" w:hAnsi="Times New Roman" w:cs="Times New Roman"/>
          <w:sz w:val="24"/>
          <w:szCs w:val="24"/>
        </w:rPr>
        <w:t xml:space="preserve">telematica, come si è anticipato, coinvolge </w:t>
      </w:r>
      <w:r>
        <w:rPr>
          <w:rFonts w:ascii="Times New Roman" w:hAnsi="Times New Roman" w:cs="Times New Roman"/>
          <w:sz w:val="24"/>
          <w:szCs w:val="24"/>
        </w:rPr>
        <w:t>anche il</w:t>
      </w:r>
      <w:r w:rsidRPr="00DA725A">
        <w:rPr>
          <w:rFonts w:ascii="Times New Roman" w:hAnsi="Times New Roman" w:cs="Times New Roman"/>
          <w:sz w:val="24"/>
          <w:szCs w:val="24"/>
        </w:rPr>
        <w:t xml:space="preserve"> versamento della cauzione. Orbene</w:t>
      </w:r>
      <w:r>
        <w:rPr>
          <w:rFonts w:ascii="Times New Roman" w:hAnsi="Times New Roman" w:cs="Times New Roman"/>
          <w:sz w:val="24"/>
          <w:szCs w:val="24"/>
        </w:rPr>
        <w:t xml:space="preserve"> mentre </w:t>
      </w:r>
      <w:r w:rsidRPr="00DA725A">
        <w:rPr>
          <w:rFonts w:ascii="Times New Roman" w:hAnsi="Times New Roman" w:cs="Times New Roman"/>
          <w:sz w:val="24"/>
          <w:szCs w:val="24"/>
        </w:rPr>
        <w:t>l’attuale modalità</w:t>
      </w:r>
      <w:r>
        <w:rPr>
          <w:rFonts w:ascii="Times New Roman" w:hAnsi="Times New Roman" w:cs="Times New Roman"/>
          <w:sz w:val="24"/>
          <w:szCs w:val="24"/>
        </w:rPr>
        <w:t xml:space="preserve"> analogica di deposito</w:t>
      </w:r>
      <w:r w:rsidRPr="00DA725A">
        <w:rPr>
          <w:rFonts w:ascii="Times New Roman" w:hAnsi="Times New Roman" w:cs="Times New Roman"/>
          <w:sz w:val="24"/>
          <w:szCs w:val="24"/>
        </w:rPr>
        <w:t xml:space="preserve">, consistente in generale nel  deposito all’interno della busta di un assegno circolare, risulta </w:t>
      </w:r>
      <w:proofErr w:type="spellStart"/>
      <w:r w:rsidRPr="00DA725A">
        <w:rPr>
          <w:rFonts w:ascii="Times New Roman" w:hAnsi="Times New Roman" w:cs="Times New Roman"/>
          <w:sz w:val="24"/>
          <w:szCs w:val="24"/>
        </w:rPr>
        <w:t>quantomai</w:t>
      </w:r>
      <w:proofErr w:type="spellEnd"/>
      <w:r w:rsidRPr="00DA725A">
        <w:rPr>
          <w:rFonts w:ascii="Times New Roman" w:hAnsi="Times New Roman" w:cs="Times New Roman"/>
          <w:sz w:val="24"/>
          <w:szCs w:val="24"/>
        </w:rPr>
        <w:t xml:space="preserve"> comoda e di agevole esecuzione per chiunque</w:t>
      </w:r>
      <w:r>
        <w:rPr>
          <w:rFonts w:ascii="Times New Roman" w:hAnsi="Times New Roman" w:cs="Times New Roman"/>
          <w:sz w:val="24"/>
          <w:szCs w:val="24"/>
        </w:rPr>
        <w:t>, c</w:t>
      </w:r>
      <w:r w:rsidRPr="00DA725A">
        <w:rPr>
          <w:rFonts w:ascii="Times New Roman" w:hAnsi="Times New Roman" w:cs="Times New Roman"/>
          <w:sz w:val="24"/>
          <w:szCs w:val="24"/>
        </w:rPr>
        <w:t>ol sistema telematico l’unica modalità pensabile</w:t>
      </w:r>
      <w:r w:rsidR="009E4435">
        <w:rPr>
          <w:rFonts w:ascii="Times New Roman" w:hAnsi="Times New Roman" w:cs="Times New Roman"/>
          <w:sz w:val="24"/>
          <w:szCs w:val="24"/>
        </w:rPr>
        <w:t xml:space="preserve"> (e prevista)</w:t>
      </w:r>
      <w:r w:rsidRPr="00DA725A">
        <w:rPr>
          <w:rFonts w:ascii="Times New Roman" w:hAnsi="Times New Roman" w:cs="Times New Roman"/>
          <w:sz w:val="24"/>
          <w:szCs w:val="24"/>
        </w:rPr>
        <w:t xml:space="preserve"> allo stato è costituita da un bonifico bancario</w:t>
      </w:r>
      <w:r>
        <w:rPr>
          <w:rFonts w:ascii="Times New Roman" w:hAnsi="Times New Roman" w:cs="Times New Roman"/>
          <w:sz w:val="24"/>
          <w:szCs w:val="24"/>
        </w:rPr>
        <w:t xml:space="preserve"> (cfr. art. 12,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xml:space="preserve">. </w:t>
      </w:r>
      <w:r w:rsidRPr="009E4435">
        <w:rPr>
          <w:rFonts w:ascii="Times New Roman" w:hAnsi="Times New Roman" w:cs="Times New Roman"/>
          <w:i/>
          <w:sz w:val="24"/>
          <w:szCs w:val="24"/>
        </w:rPr>
        <w:t>l)</w:t>
      </w:r>
      <w:r>
        <w:rPr>
          <w:rFonts w:ascii="Times New Roman" w:hAnsi="Times New Roman" w:cs="Times New Roman"/>
          <w:sz w:val="24"/>
          <w:szCs w:val="24"/>
        </w:rPr>
        <w:t xml:space="preserve"> e </w:t>
      </w:r>
      <w:r w:rsidRPr="009E4435">
        <w:rPr>
          <w:rFonts w:ascii="Times New Roman" w:hAnsi="Times New Roman" w:cs="Times New Roman"/>
          <w:i/>
          <w:sz w:val="24"/>
          <w:szCs w:val="24"/>
        </w:rPr>
        <w:t xml:space="preserve">m) </w:t>
      </w:r>
      <w:r>
        <w:rPr>
          <w:rFonts w:ascii="Times New Roman" w:hAnsi="Times New Roman" w:cs="Times New Roman"/>
          <w:sz w:val="24"/>
          <w:szCs w:val="24"/>
        </w:rPr>
        <w:t>del decreto)</w:t>
      </w:r>
      <w:r w:rsidRPr="00DA725A">
        <w:rPr>
          <w:rFonts w:ascii="Times New Roman" w:hAnsi="Times New Roman" w:cs="Times New Roman"/>
          <w:sz w:val="24"/>
          <w:szCs w:val="24"/>
        </w:rPr>
        <w:t xml:space="preserve">, che però di necessità dev’essere verificato nella sua avvenuta esecuzione al più tardi al momento </w:t>
      </w:r>
      <w:r w:rsidRPr="00DA725A">
        <w:rPr>
          <w:rFonts w:ascii="Times New Roman" w:hAnsi="Times New Roman" w:cs="Times New Roman"/>
          <w:sz w:val="24"/>
          <w:szCs w:val="24"/>
        </w:rPr>
        <w:lastRenderedPageBreak/>
        <w:t xml:space="preserve">dell’asta, </w:t>
      </w:r>
      <w:r>
        <w:rPr>
          <w:rFonts w:ascii="Times New Roman" w:hAnsi="Times New Roman" w:cs="Times New Roman"/>
          <w:sz w:val="24"/>
          <w:szCs w:val="24"/>
        </w:rPr>
        <w:t>la quale</w:t>
      </w:r>
      <w:r w:rsidRPr="00DA725A">
        <w:rPr>
          <w:rFonts w:ascii="Times New Roman" w:hAnsi="Times New Roman" w:cs="Times New Roman"/>
          <w:sz w:val="24"/>
          <w:szCs w:val="24"/>
        </w:rPr>
        <w:t xml:space="preserve"> generalmente </w:t>
      </w:r>
      <w:r>
        <w:rPr>
          <w:rFonts w:ascii="Times New Roman" w:hAnsi="Times New Roman" w:cs="Times New Roman"/>
          <w:sz w:val="24"/>
          <w:szCs w:val="24"/>
        </w:rPr>
        <w:t>si tiene</w:t>
      </w:r>
      <w:r w:rsidRPr="00DA725A">
        <w:rPr>
          <w:rFonts w:ascii="Times New Roman" w:hAnsi="Times New Roman" w:cs="Times New Roman"/>
          <w:sz w:val="24"/>
          <w:szCs w:val="24"/>
        </w:rPr>
        <w:t xml:space="preserve"> il giorno successivo alla scadenza del termine per</w:t>
      </w:r>
      <w:r>
        <w:rPr>
          <w:rFonts w:ascii="Times New Roman" w:hAnsi="Times New Roman" w:cs="Times New Roman"/>
          <w:sz w:val="24"/>
          <w:szCs w:val="24"/>
        </w:rPr>
        <w:t xml:space="preserve"> </w:t>
      </w:r>
      <w:r w:rsidRPr="00DA725A">
        <w:rPr>
          <w:rFonts w:ascii="Times New Roman" w:hAnsi="Times New Roman" w:cs="Times New Roman"/>
          <w:sz w:val="24"/>
          <w:szCs w:val="24"/>
        </w:rPr>
        <w:t xml:space="preserve">il deposito dell’offerta. I tempi quindi mal si combinano con quelli solitamente richiesti dalle banche per confermare un bonifico, ragion per cui gli uffici si stanno orientando nel senso di prevedere che </w:t>
      </w:r>
      <w:r>
        <w:rPr>
          <w:rFonts w:ascii="Times New Roman" w:hAnsi="Times New Roman" w:cs="Times New Roman"/>
          <w:sz w:val="24"/>
          <w:szCs w:val="24"/>
        </w:rPr>
        <w:t>questo</w:t>
      </w:r>
      <w:r w:rsidRPr="00DA725A">
        <w:rPr>
          <w:rFonts w:ascii="Times New Roman" w:hAnsi="Times New Roman" w:cs="Times New Roman"/>
          <w:sz w:val="24"/>
          <w:szCs w:val="24"/>
        </w:rPr>
        <w:t xml:space="preserve"> de</w:t>
      </w:r>
      <w:r>
        <w:rPr>
          <w:rFonts w:ascii="Times New Roman" w:hAnsi="Times New Roman" w:cs="Times New Roman"/>
          <w:sz w:val="24"/>
          <w:szCs w:val="24"/>
        </w:rPr>
        <w:t>bba</w:t>
      </w:r>
      <w:r w:rsidRPr="00DA725A">
        <w:rPr>
          <w:rFonts w:ascii="Times New Roman" w:hAnsi="Times New Roman" w:cs="Times New Roman"/>
          <w:sz w:val="24"/>
          <w:szCs w:val="24"/>
        </w:rPr>
        <w:t xml:space="preserve"> essere effettuato parecchi giorni prima d</w:t>
      </w:r>
      <w:r w:rsidR="00062AC2">
        <w:rPr>
          <w:rFonts w:ascii="Times New Roman" w:hAnsi="Times New Roman" w:cs="Times New Roman"/>
          <w:sz w:val="24"/>
          <w:szCs w:val="24"/>
        </w:rPr>
        <w:t>i quello</w:t>
      </w:r>
      <w:r w:rsidRPr="00DA725A">
        <w:rPr>
          <w:rFonts w:ascii="Times New Roman" w:hAnsi="Times New Roman" w:cs="Times New Roman"/>
          <w:sz w:val="24"/>
          <w:szCs w:val="24"/>
        </w:rPr>
        <w:t xml:space="preserve"> dell’asta (ad esempio cinque giorni prima, come stabilisce l’art.25, 6° co. dm 32/15 in tema di vendita telematica mobiliare, per il caso di cauzione versata con modalità che non consentono la verifica contestuale</w:t>
      </w:r>
      <w:r w:rsidR="005C7D31">
        <w:rPr>
          <w:rFonts w:ascii="Times New Roman" w:hAnsi="Times New Roman" w:cs="Times New Roman"/>
          <w:sz w:val="24"/>
          <w:szCs w:val="24"/>
        </w:rPr>
        <w:t>; in alternativa si può pensare a disporre che in ogni caso l’accredito del bonifico dev’essere visibile alla scadenza del termine per le offerte</w:t>
      </w:r>
      <w:r>
        <w:rPr>
          <w:rFonts w:ascii="Times New Roman" w:hAnsi="Times New Roman" w:cs="Times New Roman"/>
          <w:sz w:val="24"/>
          <w:szCs w:val="24"/>
        </w:rPr>
        <w:t>)</w:t>
      </w:r>
      <w:r w:rsidRPr="00DA725A">
        <w:rPr>
          <w:rFonts w:ascii="Times New Roman" w:hAnsi="Times New Roman" w:cs="Times New Roman"/>
          <w:sz w:val="24"/>
          <w:szCs w:val="24"/>
        </w:rPr>
        <w:t xml:space="preserve">, in modo che nel corso di questa sia possibile il controllo (oltre che </w:t>
      </w:r>
      <w:r>
        <w:rPr>
          <w:rFonts w:ascii="Times New Roman" w:hAnsi="Times New Roman" w:cs="Times New Roman"/>
          <w:sz w:val="24"/>
          <w:szCs w:val="24"/>
        </w:rPr>
        <w:t>del</w:t>
      </w:r>
      <w:r w:rsidRPr="00DA725A">
        <w:rPr>
          <w:rFonts w:ascii="Times New Roman" w:hAnsi="Times New Roman" w:cs="Times New Roman"/>
          <w:sz w:val="24"/>
          <w:szCs w:val="24"/>
        </w:rPr>
        <w:t xml:space="preserve">la formale correttezza del numero del CRO) anche  dell’avvenuto effettivo  </w:t>
      </w:r>
      <w:r w:rsidR="006F0E44">
        <w:rPr>
          <w:rFonts w:ascii="Times New Roman" w:hAnsi="Times New Roman" w:cs="Times New Roman"/>
          <w:sz w:val="24"/>
          <w:szCs w:val="24"/>
        </w:rPr>
        <w:t>accredito</w:t>
      </w:r>
      <w:r w:rsidRPr="00DA725A">
        <w:rPr>
          <w:rFonts w:ascii="Times New Roman" w:hAnsi="Times New Roman" w:cs="Times New Roman"/>
          <w:sz w:val="24"/>
          <w:szCs w:val="24"/>
        </w:rPr>
        <w:t xml:space="preserve"> sul conto</w:t>
      </w:r>
      <w:r w:rsidR="006F0E44">
        <w:rPr>
          <w:rFonts w:ascii="Times New Roman" w:hAnsi="Times New Roman" w:cs="Times New Roman"/>
          <w:sz w:val="24"/>
          <w:szCs w:val="24"/>
        </w:rPr>
        <w:t xml:space="preserve">, il tutto tra l’altro mi pare coerentemente con i principi espressi da </w:t>
      </w:r>
      <w:proofErr w:type="spellStart"/>
      <w:r w:rsidR="006F0E44">
        <w:rPr>
          <w:rFonts w:ascii="Times New Roman" w:hAnsi="Times New Roman" w:cs="Times New Roman"/>
          <w:sz w:val="24"/>
          <w:szCs w:val="24"/>
        </w:rPr>
        <w:t>Cass</w:t>
      </w:r>
      <w:proofErr w:type="spellEnd"/>
      <w:r w:rsidR="006F0E44">
        <w:rPr>
          <w:rFonts w:ascii="Times New Roman" w:hAnsi="Times New Roman" w:cs="Times New Roman"/>
          <w:sz w:val="24"/>
          <w:szCs w:val="24"/>
        </w:rPr>
        <w:t>. 17728/14</w:t>
      </w:r>
      <w:r w:rsidRPr="00DA725A">
        <w:rPr>
          <w:rFonts w:ascii="Times New Roman" w:hAnsi="Times New Roman" w:cs="Times New Roman"/>
          <w:sz w:val="24"/>
          <w:szCs w:val="24"/>
        </w:rPr>
        <w:t>.</w:t>
      </w:r>
      <w:r w:rsidR="006F0E44">
        <w:rPr>
          <w:rFonts w:ascii="Times New Roman" w:hAnsi="Times New Roman" w:cs="Times New Roman"/>
          <w:sz w:val="24"/>
          <w:szCs w:val="24"/>
        </w:rPr>
        <w:t xml:space="preserve"> Molti dei disagi che possono verificarsi potranno peraltro essere superati tramite un rinnovo delle convenzioni con gli istituti bancari, nello specifico tramite la previsione di modalità particolarmente rapide ed efficaci per la tempestiva visualizzazione degli accrediti e di termini degli stessi.</w:t>
      </w:r>
    </w:p>
    <w:p w:rsidR="000F3C44" w:rsidRDefault="006E24F6"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In dottrina è stato sottolineato che sarebbe stato ben più sicuro (e si deve ricordare che la “sicurezza” è una delle caratteristiche che l’art.161 </w:t>
      </w:r>
      <w:r w:rsidRPr="00CC1B33">
        <w:rPr>
          <w:rFonts w:ascii="Times New Roman" w:hAnsi="Times New Roman" w:cs="Times New Roman"/>
          <w:i/>
          <w:sz w:val="24"/>
          <w:szCs w:val="24"/>
        </w:rPr>
        <w:t>ter</w:t>
      </w:r>
      <w:r w:rsidRPr="00DA725A">
        <w:rPr>
          <w:rFonts w:ascii="Times New Roman" w:hAnsi="Times New Roman" w:cs="Times New Roman"/>
          <w:sz w:val="24"/>
          <w:szCs w:val="24"/>
        </w:rPr>
        <w:t xml:space="preserve"> </w:t>
      </w:r>
      <w:proofErr w:type="spellStart"/>
      <w:r w:rsidRPr="00DA725A">
        <w:rPr>
          <w:rFonts w:ascii="Times New Roman" w:hAnsi="Times New Roman" w:cs="Times New Roman"/>
          <w:sz w:val="24"/>
          <w:szCs w:val="24"/>
        </w:rPr>
        <w:t>disp</w:t>
      </w:r>
      <w:proofErr w:type="spellEnd"/>
      <w:r w:rsidR="00CF2103">
        <w:rPr>
          <w:rFonts w:ascii="Times New Roman" w:hAnsi="Times New Roman" w:cs="Times New Roman"/>
          <w:sz w:val="24"/>
          <w:szCs w:val="24"/>
        </w:rPr>
        <w:t>.</w:t>
      </w:r>
      <w:r w:rsidRPr="00DA725A">
        <w:rPr>
          <w:rFonts w:ascii="Times New Roman" w:hAnsi="Times New Roman" w:cs="Times New Roman"/>
          <w:sz w:val="24"/>
          <w:szCs w:val="24"/>
        </w:rPr>
        <w:t xml:space="preserve"> </w:t>
      </w:r>
      <w:proofErr w:type="spellStart"/>
      <w:r w:rsidRPr="00DA725A">
        <w:rPr>
          <w:rFonts w:ascii="Times New Roman" w:hAnsi="Times New Roman" w:cs="Times New Roman"/>
          <w:sz w:val="24"/>
          <w:szCs w:val="24"/>
        </w:rPr>
        <w:t>att</w:t>
      </w:r>
      <w:proofErr w:type="spellEnd"/>
      <w:r w:rsidR="00CF2103">
        <w:rPr>
          <w:rFonts w:ascii="Times New Roman" w:hAnsi="Times New Roman" w:cs="Times New Roman"/>
          <w:sz w:val="24"/>
          <w:szCs w:val="24"/>
        </w:rPr>
        <w:t>.</w:t>
      </w:r>
      <w:r w:rsidRPr="00DA725A">
        <w:rPr>
          <w:rFonts w:ascii="Times New Roman" w:hAnsi="Times New Roman" w:cs="Times New Roman"/>
          <w:sz w:val="24"/>
          <w:szCs w:val="24"/>
        </w:rPr>
        <w:t xml:space="preserve"> </w:t>
      </w:r>
      <w:proofErr w:type="spellStart"/>
      <w:r w:rsidR="00CC1B33">
        <w:rPr>
          <w:rFonts w:ascii="Times New Roman" w:hAnsi="Times New Roman" w:cs="Times New Roman"/>
          <w:sz w:val="24"/>
          <w:szCs w:val="24"/>
        </w:rPr>
        <w:t>cpc</w:t>
      </w:r>
      <w:proofErr w:type="spellEnd"/>
      <w:r w:rsidR="00CC1B33">
        <w:rPr>
          <w:rFonts w:ascii="Times New Roman" w:hAnsi="Times New Roman" w:cs="Times New Roman"/>
          <w:sz w:val="24"/>
          <w:szCs w:val="24"/>
        </w:rPr>
        <w:t xml:space="preserve"> </w:t>
      </w:r>
      <w:r w:rsidRPr="00DA725A">
        <w:rPr>
          <w:rFonts w:ascii="Times New Roman" w:hAnsi="Times New Roman" w:cs="Times New Roman"/>
          <w:sz w:val="24"/>
          <w:szCs w:val="24"/>
        </w:rPr>
        <w:t>impone) utilizzare il già collaudato sistema “RAN”</w:t>
      </w:r>
      <w:r w:rsidR="00703635" w:rsidRPr="00DA725A">
        <w:rPr>
          <w:rFonts w:ascii="Times New Roman" w:hAnsi="Times New Roman" w:cs="Times New Roman"/>
          <w:sz w:val="24"/>
          <w:szCs w:val="24"/>
        </w:rPr>
        <w:t xml:space="preserve"> (rete aste notarili)</w:t>
      </w:r>
      <w:r w:rsidRPr="00DA725A">
        <w:rPr>
          <w:rFonts w:ascii="Times New Roman" w:hAnsi="Times New Roman" w:cs="Times New Roman"/>
          <w:sz w:val="24"/>
          <w:szCs w:val="24"/>
        </w:rPr>
        <w:t>, che prevede</w:t>
      </w:r>
      <w:r w:rsidR="00703635" w:rsidRPr="00DA725A">
        <w:rPr>
          <w:rFonts w:ascii="Times New Roman" w:hAnsi="Times New Roman" w:cs="Times New Roman"/>
          <w:sz w:val="24"/>
          <w:szCs w:val="24"/>
        </w:rPr>
        <w:t xml:space="preserve"> una vendita telematica sincrona in cui </w:t>
      </w:r>
      <w:r w:rsidRPr="00DA725A">
        <w:rPr>
          <w:rFonts w:ascii="Times New Roman" w:hAnsi="Times New Roman" w:cs="Times New Roman"/>
          <w:sz w:val="24"/>
          <w:szCs w:val="24"/>
        </w:rPr>
        <w:t xml:space="preserve">  l’identificazione dell’offerente da remoto a</w:t>
      </w:r>
      <w:r w:rsidR="00703635" w:rsidRPr="00DA725A">
        <w:rPr>
          <w:rFonts w:ascii="Times New Roman" w:hAnsi="Times New Roman" w:cs="Times New Roman"/>
          <w:sz w:val="24"/>
          <w:szCs w:val="24"/>
        </w:rPr>
        <w:t xml:space="preserve">vviene a </w:t>
      </w:r>
      <w:r w:rsidRPr="00DA725A">
        <w:rPr>
          <w:rFonts w:ascii="Times New Roman" w:hAnsi="Times New Roman" w:cs="Times New Roman"/>
          <w:sz w:val="24"/>
          <w:szCs w:val="24"/>
        </w:rPr>
        <w:t xml:space="preserve"> mezzo di notaio</w:t>
      </w:r>
      <w:r w:rsidR="00703635" w:rsidRPr="00DA725A">
        <w:rPr>
          <w:rFonts w:ascii="Times New Roman" w:hAnsi="Times New Roman" w:cs="Times New Roman"/>
          <w:sz w:val="24"/>
          <w:szCs w:val="24"/>
        </w:rPr>
        <w:t>, che si fa anche carico della trasmissione delle cauzioni,</w:t>
      </w:r>
      <w:r w:rsidR="000F3C44">
        <w:rPr>
          <w:rFonts w:ascii="Times New Roman" w:hAnsi="Times New Roman" w:cs="Times New Roman"/>
          <w:sz w:val="24"/>
          <w:szCs w:val="24"/>
        </w:rPr>
        <w:t xml:space="preserve"> risolvendosi </w:t>
      </w:r>
      <w:r w:rsidR="00E3246D">
        <w:rPr>
          <w:rFonts w:ascii="Times New Roman" w:hAnsi="Times New Roman" w:cs="Times New Roman"/>
          <w:sz w:val="24"/>
          <w:szCs w:val="24"/>
        </w:rPr>
        <w:t xml:space="preserve">così </w:t>
      </w:r>
      <w:r w:rsidR="000F3C44">
        <w:rPr>
          <w:rFonts w:ascii="Times New Roman" w:hAnsi="Times New Roman" w:cs="Times New Roman"/>
          <w:sz w:val="24"/>
          <w:szCs w:val="24"/>
        </w:rPr>
        <w:t>tra l’altro gran parte delle problematiche suesposte,</w:t>
      </w:r>
      <w:r w:rsidR="00703635" w:rsidRPr="00DA725A">
        <w:rPr>
          <w:rFonts w:ascii="Times New Roman" w:hAnsi="Times New Roman" w:cs="Times New Roman"/>
          <w:sz w:val="24"/>
          <w:szCs w:val="24"/>
        </w:rPr>
        <w:t xml:space="preserve"> delle offerte e dei rilanci di gara, mentre altro notaio è incaricato di celebrare l’asta. Evidente che tale sistema consente una sicurezza pressoché assoluta, e ben si adatta anche a soggetti non preparati all’uso del mezzo telematico.  </w:t>
      </w:r>
      <w:r w:rsidR="000F3C44">
        <w:rPr>
          <w:rFonts w:ascii="Times New Roman" w:hAnsi="Times New Roman" w:cs="Times New Roman"/>
          <w:sz w:val="24"/>
          <w:szCs w:val="24"/>
        </w:rPr>
        <w:t>Certo però</w:t>
      </w:r>
      <w:r w:rsidR="00703635" w:rsidRPr="00DA725A">
        <w:rPr>
          <w:rFonts w:ascii="Times New Roman" w:hAnsi="Times New Roman" w:cs="Times New Roman"/>
          <w:sz w:val="24"/>
          <w:szCs w:val="24"/>
        </w:rPr>
        <w:t xml:space="preserve"> non va sottaciuto che </w:t>
      </w:r>
      <w:r w:rsidR="00C148DB">
        <w:rPr>
          <w:rFonts w:ascii="Times New Roman" w:hAnsi="Times New Roman" w:cs="Times New Roman"/>
          <w:sz w:val="24"/>
          <w:szCs w:val="24"/>
        </w:rPr>
        <w:t>esso</w:t>
      </w:r>
      <w:r w:rsidR="00703635" w:rsidRPr="00DA725A">
        <w:rPr>
          <w:rFonts w:ascii="Times New Roman" w:hAnsi="Times New Roman" w:cs="Times New Roman"/>
          <w:sz w:val="24"/>
          <w:szCs w:val="24"/>
        </w:rPr>
        <w:t xml:space="preserve"> appare tutt’altro che economico per l’offerente</w:t>
      </w:r>
      <w:r w:rsidR="000F3C44">
        <w:rPr>
          <w:rFonts w:ascii="Times New Roman" w:hAnsi="Times New Roman" w:cs="Times New Roman"/>
          <w:sz w:val="24"/>
          <w:szCs w:val="24"/>
        </w:rPr>
        <w:t>, mentre</w:t>
      </w:r>
      <w:r w:rsidR="00703635" w:rsidRPr="00DA725A">
        <w:rPr>
          <w:rFonts w:ascii="Times New Roman" w:hAnsi="Times New Roman" w:cs="Times New Roman"/>
          <w:sz w:val="24"/>
          <w:szCs w:val="24"/>
        </w:rPr>
        <w:t xml:space="preserve"> l’accesso tramite un gestore </w:t>
      </w:r>
      <w:proofErr w:type="spellStart"/>
      <w:r w:rsidR="00703635" w:rsidRPr="00DA725A">
        <w:rPr>
          <w:rFonts w:ascii="Times New Roman" w:hAnsi="Times New Roman" w:cs="Times New Roman"/>
          <w:sz w:val="24"/>
          <w:szCs w:val="24"/>
        </w:rPr>
        <w:t>pec</w:t>
      </w:r>
      <w:proofErr w:type="spellEnd"/>
      <w:r w:rsidR="00703635" w:rsidRPr="00DA725A">
        <w:rPr>
          <w:rFonts w:ascii="Times New Roman" w:hAnsi="Times New Roman" w:cs="Times New Roman"/>
          <w:sz w:val="24"/>
          <w:szCs w:val="24"/>
        </w:rPr>
        <w:t xml:space="preserve"> (che dovrà essere inserito in un apposito elenco specificamente disciplinato dalla normativa sub</w:t>
      </w:r>
      <w:r w:rsidR="00E3246D">
        <w:rPr>
          <w:rFonts w:ascii="Times New Roman" w:hAnsi="Times New Roman" w:cs="Times New Roman"/>
          <w:sz w:val="24"/>
          <w:szCs w:val="24"/>
        </w:rPr>
        <w:t>-secondaria</w:t>
      </w:r>
      <w:r w:rsidR="00703635" w:rsidRPr="00DA725A">
        <w:rPr>
          <w:rFonts w:ascii="Times New Roman" w:hAnsi="Times New Roman" w:cs="Times New Roman"/>
          <w:sz w:val="24"/>
          <w:szCs w:val="24"/>
        </w:rPr>
        <w:t xml:space="preserve">) risulta </w:t>
      </w:r>
      <w:r w:rsidR="001667F2">
        <w:rPr>
          <w:rFonts w:ascii="Times New Roman" w:hAnsi="Times New Roman" w:cs="Times New Roman"/>
          <w:sz w:val="24"/>
          <w:szCs w:val="24"/>
        </w:rPr>
        <w:t>ben</w:t>
      </w:r>
      <w:r w:rsidR="00703635" w:rsidRPr="00DA725A">
        <w:rPr>
          <w:rFonts w:ascii="Times New Roman" w:hAnsi="Times New Roman" w:cs="Times New Roman"/>
          <w:sz w:val="24"/>
          <w:szCs w:val="24"/>
        </w:rPr>
        <w:t xml:space="preserve"> più economico</w:t>
      </w:r>
      <w:r w:rsidR="000E4D0F" w:rsidRPr="00DA725A">
        <w:rPr>
          <w:rFonts w:ascii="Times New Roman" w:hAnsi="Times New Roman" w:cs="Times New Roman"/>
          <w:sz w:val="24"/>
          <w:szCs w:val="24"/>
        </w:rPr>
        <w:t xml:space="preserve">, ed anche </w:t>
      </w:r>
      <w:r w:rsidR="00E3246D">
        <w:rPr>
          <w:rFonts w:ascii="Times New Roman" w:hAnsi="Times New Roman" w:cs="Times New Roman"/>
          <w:sz w:val="24"/>
          <w:szCs w:val="24"/>
        </w:rPr>
        <w:t>utilizzabile per</w:t>
      </w:r>
      <w:r w:rsidR="000E4D0F" w:rsidRPr="00DA725A">
        <w:rPr>
          <w:rFonts w:ascii="Times New Roman" w:hAnsi="Times New Roman" w:cs="Times New Roman"/>
          <w:sz w:val="24"/>
          <w:szCs w:val="24"/>
        </w:rPr>
        <w:t xml:space="preserve"> soggetti che si trovano all’estero</w:t>
      </w:r>
      <w:r w:rsidR="00703635" w:rsidRPr="00DA725A">
        <w:rPr>
          <w:rFonts w:ascii="Times New Roman" w:hAnsi="Times New Roman" w:cs="Times New Roman"/>
          <w:sz w:val="24"/>
          <w:szCs w:val="24"/>
        </w:rPr>
        <w:t>.</w:t>
      </w:r>
      <w:r w:rsidR="001667F2">
        <w:rPr>
          <w:rFonts w:ascii="Times New Roman" w:hAnsi="Times New Roman" w:cs="Times New Roman"/>
          <w:sz w:val="24"/>
          <w:szCs w:val="24"/>
        </w:rPr>
        <w:t xml:space="preserve"> </w:t>
      </w:r>
    </w:p>
    <w:p w:rsidR="000F3C44" w:rsidRDefault="000F3C44"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Insomma, oltre a questioni pratiche quali si sono cercate di illustrare, </w:t>
      </w:r>
      <w:r w:rsidR="00E3246D">
        <w:rPr>
          <w:rFonts w:ascii="Times New Roman" w:hAnsi="Times New Roman" w:cs="Times New Roman"/>
          <w:sz w:val="24"/>
          <w:szCs w:val="24"/>
        </w:rPr>
        <w:t>è</w:t>
      </w:r>
      <w:r>
        <w:rPr>
          <w:rFonts w:ascii="Times New Roman" w:hAnsi="Times New Roman" w:cs="Times New Roman"/>
          <w:sz w:val="24"/>
          <w:szCs w:val="24"/>
        </w:rPr>
        <w:t xml:space="preserve"> comunque molto probabile che ampie categorie di soggetti non saranno in grado o non avranno voglia di partecipare a gare in forma telematica.</w:t>
      </w:r>
    </w:p>
    <w:p w:rsidR="000E4D0F" w:rsidRPr="00DA725A" w:rsidRDefault="000E4D0F"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Per recuperare così la platea degli offerenti che non possono o non vogliono procedere alle offerte telematiche, esistono così due ulteriori sistemi</w:t>
      </w:r>
      <w:r w:rsidR="001667F2">
        <w:rPr>
          <w:rFonts w:ascii="Times New Roman" w:hAnsi="Times New Roman" w:cs="Times New Roman"/>
          <w:sz w:val="24"/>
          <w:szCs w:val="24"/>
        </w:rPr>
        <w:t xml:space="preserve"> di vendita</w:t>
      </w:r>
      <w:r w:rsidRPr="00DA725A">
        <w:rPr>
          <w:rFonts w:ascii="Times New Roman" w:hAnsi="Times New Roman" w:cs="Times New Roman"/>
          <w:sz w:val="24"/>
          <w:szCs w:val="24"/>
        </w:rPr>
        <w:t xml:space="preserve">, uno </w:t>
      </w:r>
      <w:r w:rsidR="00ED7F16">
        <w:rPr>
          <w:rFonts w:ascii="Times New Roman" w:hAnsi="Times New Roman" w:cs="Times New Roman"/>
          <w:sz w:val="24"/>
          <w:szCs w:val="24"/>
        </w:rPr>
        <w:t xml:space="preserve">previsto tra </w:t>
      </w:r>
      <w:r w:rsidR="00ED7F16" w:rsidRPr="00DA725A">
        <w:rPr>
          <w:rFonts w:ascii="Times New Roman" w:hAnsi="Times New Roman" w:cs="Times New Roman"/>
          <w:sz w:val="24"/>
          <w:szCs w:val="24"/>
        </w:rPr>
        <w:t>le modalità dettate dal decreto ministeriale</w:t>
      </w:r>
      <w:r w:rsidR="00ED7F16">
        <w:rPr>
          <w:rFonts w:ascii="Times New Roman" w:hAnsi="Times New Roman" w:cs="Times New Roman"/>
          <w:sz w:val="24"/>
          <w:szCs w:val="24"/>
        </w:rPr>
        <w:t xml:space="preserve">; l’altro </w:t>
      </w:r>
      <w:r w:rsidRPr="00DA725A">
        <w:rPr>
          <w:rFonts w:ascii="Times New Roman" w:hAnsi="Times New Roman" w:cs="Times New Roman"/>
          <w:sz w:val="24"/>
          <w:szCs w:val="24"/>
        </w:rPr>
        <w:t>dal testo degli articoli del codice di procedura.</w:t>
      </w:r>
    </w:p>
    <w:p w:rsidR="000E4D0F" w:rsidRPr="00DA725A" w:rsidRDefault="00ED7F16"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Il primo sistema di vendita idoneo a recuperare una più vasta platea di offerenti è quello descritto dal decreto come modalità</w:t>
      </w:r>
      <w:r w:rsidR="000E4D0F" w:rsidRPr="00DA725A">
        <w:rPr>
          <w:rFonts w:ascii="Times New Roman" w:hAnsi="Times New Roman" w:cs="Times New Roman"/>
          <w:sz w:val="24"/>
          <w:szCs w:val="24"/>
        </w:rPr>
        <w:t xml:space="preserve"> mista</w:t>
      </w:r>
      <w:r>
        <w:rPr>
          <w:rFonts w:ascii="Times New Roman" w:hAnsi="Times New Roman" w:cs="Times New Roman"/>
          <w:sz w:val="24"/>
          <w:szCs w:val="24"/>
        </w:rPr>
        <w:t xml:space="preserve"> (art.22 </w:t>
      </w:r>
      <w:proofErr w:type="spellStart"/>
      <w:r>
        <w:rPr>
          <w:rFonts w:ascii="Times New Roman" w:hAnsi="Times New Roman" w:cs="Times New Roman"/>
          <w:sz w:val="24"/>
          <w:szCs w:val="24"/>
        </w:rPr>
        <w:t>d.m.</w:t>
      </w:r>
      <w:proofErr w:type="spellEnd"/>
      <w:r>
        <w:rPr>
          <w:rFonts w:ascii="Times New Roman" w:hAnsi="Times New Roman" w:cs="Times New Roman"/>
          <w:sz w:val="24"/>
          <w:szCs w:val="24"/>
        </w:rPr>
        <w:t xml:space="preserve"> cit.</w:t>
      </w:r>
      <w:r w:rsidR="00DD2FAF" w:rsidRPr="00DA725A">
        <w:rPr>
          <w:rFonts w:ascii="Times New Roman" w:hAnsi="Times New Roman" w:cs="Times New Roman"/>
          <w:sz w:val="24"/>
          <w:szCs w:val="24"/>
        </w:rPr>
        <w:t>)</w:t>
      </w:r>
      <w:r w:rsidR="000E4D0F" w:rsidRPr="00DA725A">
        <w:rPr>
          <w:rFonts w:ascii="Times New Roman" w:hAnsi="Times New Roman" w:cs="Times New Roman"/>
          <w:sz w:val="24"/>
          <w:szCs w:val="24"/>
        </w:rPr>
        <w:t>, consistente in una vendita telematica sincrona</w:t>
      </w:r>
      <w:r w:rsidR="002C7DDA" w:rsidRPr="00DA725A">
        <w:rPr>
          <w:rFonts w:ascii="Times New Roman" w:hAnsi="Times New Roman" w:cs="Times New Roman"/>
          <w:sz w:val="24"/>
          <w:szCs w:val="24"/>
        </w:rPr>
        <w:t xml:space="preserve"> (</w:t>
      </w:r>
      <w:r w:rsidR="001667F2">
        <w:rPr>
          <w:rFonts w:ascii="Times New Roman" w:hAnsi="Times New Roman" w:cs="Times New Roman"/>
          <w:sz w:val="24"/>
          <w:szCs w:val="24"/>
        </w:rPr>
        <w:t>altra</w:t>
      </w:r>
      <w:r w:rsidR="002C7DDA" w:rsidRPr="00DA725A">
        <w:rPr>
          <w:rFonts w:ascii="Times New Roman" w:hAnsi="Times New Roman" w:cs="Times New Roman"/>
          <w:sz w:val="24"/>
          <w:szCs w:val="24"/>
        </w:rPr>
        <w:t xml:space="preserve"> precisa</w:t>
      </w:r>
      <w:r w:rsidR="001667F2">
        <w:rPr>
          <w:rFonts w:ascii="Times New Roman" w:hAnsi="Times New Roman" w:cs="Times New Roman"/>
          <w:sz w:val="24"/>
          <w:szCs w:val="24"/>
        </w:rPr>
        <w:t xml:space="preserve"> scelta </w:t>
      </w:r>
      <w:r w:rsidR="00804DDC">
        <w:rPr>
          <w:rFonts w:ascii="Times New Roman" w:hAnsi="Times New Roman" w:cs="Times New Roman"/>
          <w:sz w:val="24"/>
          <w:szCs w:val="24"/>
        </w:rPr>
        <w:t>non squisitamente tecnica</w:t>
      </w:r>
      <w:r w:rsidR="001667F2">
        <w:rPr>
          <w:rFonts w:ascii="Times New Roman" w:hAnsi="Times New Roman" w:cs="Times New Roman"/>
          <w:sz w:val="24"/>
          <w:szCs w:val="24"/>
        </w:rPr>
        <w:t xml:space="preserve"> del </w:t>
      </w:r>
      <w:r w:rsidR="002C7DDA" w:rsidRPr="00DA725A">
        <w:rPr>
          <w:rFonts w:ascii="Times New Roman" w:hAnsi="Times New Roman" w:cs="Times New Roman"/>
          <w:sz w:val="24"/>
          <w:szCs w:val="24"/>
        </w:rPr>
        <w:t>decreto, che ancora una volta conferma come lo stesso contenga opzioni</w:t>
      </w:r>
      <w:r w:rsidR="00804DDC">
        <w:rPr>
          <w:rFonts w:ascii="Times New Roman" w:hAnsi="Times New Roman" w:cs="Times New Roman"/>
          <w:sz w:val="24"/>
          <w:szCs w:val="24"/>
        </w:rPr>
        <w:t xml:space="preserve"> di norme procedurali</w:t>
      </w:r>
      <w:r w:rsidR="002C7DDA" w:rsidRPr="00DA725A">
        <w:rPr>
          <w:rFonts w:ascii="Times New Roman" w:hAnsi="Times New Roman" w:cs="Times New Roman"/>
          <w:sz w:val="24"/>
          <w:szCs w:val="24"/>
        </w:rPr>
        <w:t xml:space="preserve">) </w:t>
      </w:r>
      <w:r w:rsidR="000E4D0F" w:rsidRPr="00DA725A">
        <w:rPr>
          <w:rFonts w:ascii="Times New Roman" w:hAnsi="Times New Roman" w:cs="Times New Roman"/>
          <w:sz w:val="24"/>
          <w:szCs w:val="24"/>
        </w:rPr>
        <w:t xml:space="preserve"> in cui però è data facoltà di effettuare delle offerte, versare la cauzione e partecipare alla gara</w:t>
      </w:r>
      <w:r w:rsidR="001667F2">
        <w:rPr>
          <w:rFonts w:ascii="Times New Roman" w:hAnsi="Times New Roman" w:cs="Times New Roman"/>
          <w:sz w:val="24"/>
          <w:szCs w:val="24"/>
        </w:rPr>
        <w:t xml:space="preserve"> anche</w:t>
      </w:r>
      <w:r w:rsidR="000E4D0F" w:rsidRPr="00DA725A">
        <w:rPr>
          <w:rFonts w:ascii="Times New Roman" w:hAnsi="Times New Roman" w:cs="Times New Roman"/>
          <w:sz w:val="24"/>
          <w:szCs w:val="24"/>
        </w:rPr>
        <w:t xml:space="preserve"> in modalità cd “analogica”, cioè fisica.</w:t>
      </w:r>
    </w:p>
    <w:p w:rsidR="000E4D0F" w:rsidRPr="00DA725A" w:rsidRDefault="000E4D0F"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Questa modalità ha l’indubbio vantaggio di consentire a chi vuole di partecipare con le modalità tradizionali, e quindi allarga indubbiamente la platea, ma certamente richiede almeno teoricamente al referente della vendita una </w:t>
      </w:r>
      <w:r w:rsidRPr="00DA725A">
        <w:rPr>
          <w:rFonts w:ascii="Times New Roman" w:hAnsi="Times New Roman" w:cs="Times New Roman"/>
          <w:sz w:val="24"/>
          <w:szCs w:val="24"/>
        </w:rPr>
        <w:lastRenderedPageBreak/>
        <w:t xml:space="preserve">padronanza del mezzo informatico decisamente elevata </w:t>
      </w:r>
      <w:r w:rsidRPr="00B63DB7">
        <w:rPr>
          <w:rFonts w:ascii="Times New Roman" w:hAnsi="Times New Roman" w:cs="Times New Roman"/>
          <w:sz w:val="24"/>
          <w:szCs w:val="24"/>
        </w:rPr>
        <w:t xml:space="preserve">(perché dovrà gestire offerte che provengono da soggetti presenti fisicamente e da altri presenti solo </w:t>
      </w:r>
      <w:r w:rsidRPr="00B63DB7">
        <w:rPr>
          <w:rFonts w:ascii="Times New Roman" w:hAnsi="Times New Roman" w:cs="Times New Roman"/>
          <w:i/>
          <w:sz w:val="24"/>
          <w:szCs w:val="24"/>
        </w:rPr>
        <w:t>on line</w:t>
      </w:r>
      <w:r w:rsidRPr="00B63DB7">
        <w:rPr>
          <w:rFonts w:ascii="Times New Roman" w:hAnsi="Times New Roman" w:cs="Times New Roman"/>
          <w:sz w:val="24"/>
          <w:szCs w:val="24"/>
        </w:rPr>
        <w:t>, e ciò inoltre gli imporrà di adottare accorgimenti che gli consentano di far conoscere tempestivamente agli uni e agli altri le relative off</w:t>
      </w:r>
      <w:r w:rsidRPr="00DA725A">
        <w:rPr>
          <w:rFonts w:ascii="Times New Roman" w:hAnsi="Times New Roman" w:cs="Times New Roman"/>
          <w:sz w:val="24"/>
          <w:szCs w:val="24"/>
        </w:rPr>
        <w:t>erte</w:t>
      </w:r>
      <w:r w:rsidR="00B63DB7">
        <w:rPr>
          <w:rFonts w:ascii="Times New Roman" w:hAnsi="Times New Roman" w:cs="Times New Roman"/>
          <w:sz w:val="24"/>
          <w:szCs w:val="24"/>
        </w:rPr>
        <w:t xml:space="preserve"> e verbalizzando il tutto, aldilà direi d</w:t>
      </w:r>
      <w:r w:rsidR="004070D2">
        <w:rPr>
          <w:rFonts w:ascii="Times New Roman" w:hAnsi="Times New Roman" w:cs="Times New Roman"/>
          <w:sz w:val="24"/>
          <w:szCs w:val="24"/>
        </w:rPr>
        <w:t>e</w:t>
      </w:r>
      <w:r w:rsidR="00B63DB7">
        <w:rPr>
          <w:rFonts w:ascii="Times New Roman" w:hAnsi="Times New Roman" w:cs="Times New Roman"/>
          <w:sz w:val="24"/>
          <w:szCs w:val="24"/>
        </w:rPr>
        <w:t>l contenuto minimo indicato dall’art.23 del decreto</w:t>
      </w:r>
      <w:r w:rsidR="004070D2">
        <w:rPr>
          <w:rFonts w:ascii="Times New Roman" w:hAnsi="Times New Roman" w:cs="Times New Roman"/>
          <w:sz w:val="24"/>
          <w:szCs w:val="24"/>
        </w:rPr>
        <w:t xml:space="preserve"> e</w:t>
      </w:r>
      <w:r w:rsidR="00B63DB7">
        <w:rPr>
          <w:rFonts w:ascii="Times New Roman" w:hAnsi="Times New Roman" w:cs="Times New Roman"/>
          <w:sz w:val="24"/>
          <w:szCs w:val="24"/>
        </w:rPr>
        <w:t xml:space="preserve"> di cui si dirà, per essere in condizione di dimostrare la correttezza delle operazioni di gara</w:t>
      </w:r>
      <w:r w:rsidRPr="00DA725A">
        <w:rPr>
          <w:rFonts w:ascii="Times New Roman" w:hAnsi="Times New Roman" w:cs="Times New Roman"/>
          <w:sz w:val="24"/>
          <w:szCs w:val="24"/>
        </w:rPr>
        <w:t>).</w:t>
      </w:r>
    </w:p>
    <w:p w:rsidR="000E4D0F" w:rsidRPr="00DA725A" w:rsidRDefault="000E4D0F"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Ho detto teoricamente perché, tenuto conto delle rilevanti difficoltà ad effettuare offerte telematiche</w:t>
      </w:r>
      <w:r w:rsidR="00804DDC">
        <w:rPr>
          <w:rFonts w:ascii="Times New Roman" w:hAnsi="Times New Roman" w:cs="Times New Roman"/>
          <w:sz w:val="24"/>
          <w:szCs w:val="24"/>
        </w:rPr>
        <w:t xml:space="preserve"> per soggetti non adusi allo strumento</w:t>
      </w:r>
      <w:r w:rsidR="001667F2">
        <w:rPr>
          <w:rFonts w:ascii="Times New Roman" w:hAnsi="Times New Roman" w:cs="Times New Roman"/>
          <w:sz w:val="24"/>
          <w:szCs w:val="24"/>
        </w:rPr>
        <w:t xml:space="preserve"> e delle osservazioni in tema di anticipo dei tempi di versamento della cauzione a mezzo bonifico di cui </w:t>
      </w:r>
      <w:r w:rsidR="002F202E">
        <w:rPr>
          <w:rFonts w:ascii="Times New Roman" w:hAnsi="Times New Roman" w:cs="Times New Roman"/>
          <w:sz w:val="24"/>
          <w:szCs w:val="24"/>
        </w:rPr>
        <w:t>s’è detto</w:t>
      </w:r>
      <w:r w:rsidRPr="00DA725A">
        <w:rPr>
          <w:rFonts w:ascii="Times New Roman" w:hAnsi="Times New Roman" w:cs="Times New Roman"/>
          <w:sz w:val="24"/>
          <w:szCs w:val="24"/>
        </w:rPr>
        <w:t xml:space="preserve">, non è escluso che di fronte alla possibilità di </w:t>
      </w:r>
      <w:r w:rsidR="002F202E">
        <w:rPr>
          <w:rFonts w:ascii="Times New Roman" w:hAnsi="Times New Roman" w:cs="Times New Roman"/>
          <w:sz w:val="24"/>
          <w:szCs w:val="24"/>
        </w:rPr>
        <w:t>procedere anche con</w:t>
      </w:r>
      <w:r w:rsidRPr="00DA725A">
        <w:rPr>
          <w:rFonts w:ascii="Times New Roman" w:hAnsi="Times New Roman" w:cs="Times New Roman"/>
          <w:sz w:val="24"/>
          <w:szCs w:val="24"/>
        </w:rPr>
        <w:t xml:space="preserve"> l’offerta “analogica”, nessuno si avventuri</w:t>
      </w:r>
      <w:r w:rsidR="002F202E">
        <w:rPr>
          <w:rFonts w:ascii="Times New Roman" w:hAnsi="Times New Roman" w:cs="Times New Roman"/>
          <w:sz w:val="24"/>
          <w:szCs w:val="24"/>
        </w:rPr>
        <w:t xml:space="preserve"> con l’opzione</w:t>
      </w:r>
      <w:r w:rsidRPr="00DA725A">
        <w:rPr>
          <w:rFonts w:ascii="Times New Roman" w:hAnsi="Times New Roman" w:cs="Times New Roman"/>
          <w:sz w:val="24"/>
          <w:szCs w:val="24"/>
        </w:rPr>
        <w:t xml:space="preserve"> telematica.</w:t>
      </w:r>
    </w:p>
    <w:p w:rsidR="000E4D0F" w:rsidRPr="00DA725A" w:rsidRDefault="000E4D0F"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D’altronde, </w:t>
      </w:r>
      <w:r w:rsidR="00804DDC">
        <w:rPr>
          <w:rFonts w:ascii="Times New Roman" w:hAnsi="Times New Roman" w:cs="Times New Roman"/>
          <w:sz w:val="24"/>
          <w:szCs w:val="24"/>
        </w:rPr>
        <w:t>prevedendo la normativa una pluralità di tipologie, la scelta</w:t>
      </w:r>
      <w:r w:rsidR="002C7DDA" w:rsidRPr="00DA725A">
        <w:rPr>
          <w:rFonts w:ascii="Times New Roman" w:hAnsi="Times New Roman" w:cs="Times New Roman"/>
          <w:sz w:val="24"/>
          <w:szCs w:val="24"/>
        </w:rPr>
        <w:t xml:space="preserve"> verrà effettuata da parte del giudice</w:t>
      </w:r>
      <w:r w:rsidR="004070D2">
        <w:rPr>
          <w:rFonts w:ascii="Times New Roman" w:hAnsi="Times New Roman" w:cs="Times New Roman"/>
          <w:sz w:val="24"/>
          <w:szCs w:val="24"/>
        </w:rPr>
        <w:t xml:space="preserve"> – cui l’art.569, 4° co., </w:t>
      </w:r>
      <w:proofErr w:type="spellStart"/>
      <w:r w:rsidR="004070D2">
        <w:rPr>
          <w:rFonts w:ascii="Times New Roman" w:hAnsi="Times New Roman" w:cs="Times New Roman"/>
          <w:sz w:val="24"/>
          <w:szCs w:val="24"/>
        </w:rPr>
        <w:t>cpc</w:t>
      </w:r>
      <w:proofErr w:type="spellEnd"/>
      <w:r w:rsidR="004070D2">
        <w:rPr>
          <w:rFonts w:ascii="Times New Roman" w:hAnsi="Times New Roman" w:cs="Times New Roman"/>
          <w:sz w:val="24"/>
          <w:szCs w:val="24"/>
        </w:rPr>
        <w:t xml:space="preserve"> demanda in esclusiva tale decisione, analogamente alla decisione (pur molto meno discrezionale) della scelta fra vendita con o senza incanto -</w:t>
      </w:r>
      <w:r w:rsidR="002C7DDA" w:rsidRPr="00DA725A">
        <w:rPr>
          <w:rFonts w:ascii="Times New Roman" w:hAnsi="Times New Roman" w:cs="Times New Roman"/>
          <w:sz w:val="24"/>
          <w:szCs w:val="24"/>
        </w:rPr>
        <w:t xml:space="preserve"> sulla base di criteri oggettivi, e mi pare che il primo d’essi possa essere</w:t>
      </w:r>
      <w:r w:rsidR="00804DDC">
        <w:rPr>
          <w:rFonts w:ascii="Times New Roman" w:hAnsi="Times New Roman" w:cs="Times New Roman"/>
          <w:sz w:val="24"/>
          <w:szCs w:val="24"/>
        </w:rPr>
        <w:t xml:space="preserve"> basato sul</w:t>
      </w:r>
      <w:r w:rsidR="002C7DDA" w:rsidRPr="00DA725A">
        <w:rPr>
          <w:rFonts w:ascii="Times New Roman" w:hAnsi="Times New Roman" w:cs="Times New Roman"/>
          <w:sz w:val="24"/>
          <w:szCs w:val="24"/>
        </w:rPr>
        <w:t>la tipologia del bene messo in vendita, nel senso che la vendita mista, quando non generalizzata (come pare opportuno sia almeno nella prima fase di vigore della nuova normativa) , sarà quantom</w:t>
      </w:r>
      <w:r w:rsidR="002F202E">
        <w:rPr>
          <w:rFonts w:ascii="Times New Roman" w:hAnsi="Times New Roman" w:cs="Times New Roman"/>
          <w:sz w:val="24"/>
          <w:szCs w:val="24"/>
        </w:rPr>
        <w:t>eno</w:t>
      </w:r>
      <w:r w:rsidR="002C7DDA" w:rsidRPr="00DA725A">
        <w:rPr>
          <w:rFonts w:ascii="Times New Roman" w:hAnsi="Times New Roman" w:cs="Times New Roman"/>
          <w:sz w:val="24"/>
          <w:szCs w:val="24"/>
        </w:rPr>
        <w:t xml:space="preserve"> prevista per beni che generalmente destano l’interesse di soggetti n</w:t>
      </w:r>
      <w:r w:rsidR="00DA112E" w:rsidRPr="00DA725A">
        <w:rPr>
          <w:rFonts w:ascii="Times New Roman" w:hAnsi="Times New Roman" w:cs="Times New Roman"/>
          <w:sz w:val="24"/>
          <w:szCs w:val="24"/>
        </w:rPr>
        <w:t xml:space="preserve">on particolarmente strutturati </w:t>
      </w:r>
      <w:r w:rsidR="00804DDC">
        <w:rPr>
          <w:rFonts w:ascii="Times New Roman" w:hAnsi="Times New Roman" w:cs="Times New Roman"/>
          <w:sz w:val="24"/>
          <w:szCs w:val="24"/>
        </w:rPr>
        <w:t>sotto il profilo della telematica</w:t>
      </w:r>
      <w:r w:rsidR="00DA112E" w:rsidRPr="00DA725A">
        <w:rPr>
          <w:rFonts w:ascii="Times New Roman" w:hAnsi="Times New Roman" w:cs="Times New Roman"/>
          <w:sz w:val="24"/>
          <w:szCs w:val="24"/>
        </w:rPr>
        <w:t>.</w:t>
      </w:r>
    </w:p>
    <w:p w:rsidR="00DA112E" w:rsidRPr="00DA725A" w:rsidRDefault="00ED7F16"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L’altro sistema di vendita idoneo a recuperare una più vasta platea di offerenti</w:t>
      </w:r>
      <w:r w:rsidR="00240A4C" w:rsidRPr="00DA725A">
        <w:rPr>
          <w:rFonts w:ascii="Times New Roman" w:hAnsi="Times New Roman" w:cs="Times New Roman"/>
          <w:sz w:val="24"/>
          <w:szCs w:val="24"/>
        </w:rPr>
        <w:t xml:space="preserve">, ricavabile questa volta come anticipato dal testo delle norme </w:t>
      </w:r>
      <w:proofErr w:type="spellStart"/>
      <w:r w:rsidR="00240A4C" w:rsidRPr="00DA725A">
        <w:rPr>
          <w:rFonts w:ascii="Times New Roman" w:hAnsi="Times New Roman" w:cs="Times New Roman"/>
          <w:sz w:val="24"/>
          <w:szCs w:val="24"/>
        </w:rPr>
        <w:t>codicistiche</w:t>
      </w:r>
      <w:proofErr w:type="spellEnd"/>
      <w:r w:rsidR="00240A4C" w:rsidRPr="00DA725A">
        <w:rPr>
          <w:rFonts w:ascii="Times New Roman" w:hAnsi="Times New Roman" w:cs="Times New Roman"/>
          <w:sz w:val="24"/>
          <w:szCs w:val="24"/>
        </w:rPr>
        <w:t xml:space="preserve">, è </w:t>
      </w:r>
      <w:r w:rsidR="00676D0E">
        <w:rPr>
          <w:rFonts w:ascii="Times New Roman" w:hAnsi="Times New Roman" w:cs="Times New Roman"/>
          <w:sz w:val="24"/>
          <w:szCs w:val="24"/>
        </w:rPr>
        <w:t>reso possibile</w:t>
      </w:r>
      <w:r w:rsidR="00240A4C" w:rsidRPr="00DA725A">
        <w:rPr>
          <w:rFonts w:ascii="Times New Roman" w:hAnsi="Times New Roman" w:cs="Times New Roman"/>
          <w:sz w:val="24"/>
          <w:szCs w:val="24"/>
        </w:rPr>
        <w:t xml:space="preserve"> a mio parere </w:t>
      </w:r>
      <w:r w:rsidR="00DA112E" w:rsidRPr="00DA725A">
        <w:rPr>
          <w:rFonts w:ascii="Times New Roman" w:hAnsi="Times New Roman" w:cs="Times New Roman"/>
          <w:sz w:val="24"/>
          <w:szCs w:val="24"/>
        </w:rPr>
        <w:t xml:space="preserve"> dal già richiamato inciso</w:t>
      </w:r>
      <w:r>
        <w:rPr>
          <w:rFonts w:ascii="Times New Roman" w:hAnsi="Times New Roman" w:cs="Times New Roman"/>
          <w:sz w:val="24"/>
          <w:szCs w:val="24"/>
        </w:rPr>
        <w:t xml:space="preserve"> contenuto nel 4° co. dell’art.569 </w:t>
      </w:r>
      <w:proofErr w:type="spellStart"/>
      <w:r>
        <w:rPr>
          <w:rFonts w:ascii="Times New Roman" w:hAnsi="Times New Roman" w:cs="Times New Roman"/>
          <w:sz w:val="24"/>
          <w:szCs w:val="24"/>
        </w:rPr>
        <w:t>cpc</w:t>
      </w:r>
      <w:proofErr w:type="spellEnd"/>
      <w:r>
        <w:rPr>
          <w:rFonts w:ascii="Times New Roman" w:hAnsi="Times New Roman" w:cs="Times New Roman"/>
          <w:sz w:val="24"/>
          <w:szCs w:val="24"/>
        </w:rPr>
        <w:t xml:space="preserve"> e nel 6° co. dell’art.530 stesso codice,</w:t>
      </w:r>
      <w:r w:rsidR="00DA112E" w:rsidRPr="00DA725A">
        <w:rPr>
          <w:rFonts w:ascii="Times New Roman" w:hAnsi="Times New Roman" w:cs="Times New Roman"/>
          <w:sz w:val="24"/>
          <w:szCs w:val="24"/>
        </w:rPr>
        <w:t xml:space="preserve"> che</w:t>
      </w:r>
      <w:r w:rsidR="002F202E">
        <w:rPr>
          <w:rFonts w:ascii="Times New Roman" w:hAnsi="Times New Roman" w:cs="Times New Roman"/>
          <w:sz w:val="24"/>
          <w:szCs w:val="24"/>
        </w:rPr>
        <w:t xml:space="preserve"> reca la salvezza del metodo esclusivamente analogico allorché</w:t>
      </w:r>
      <w:r w:rsidR="00DA112E" w:rsidRPr="00DA725A">
        <w:rPr>
          <w:rFonts w:ascii="Times New Roman" w:hAnsi="Times New Roman" w:cs="Times New Roman"/>
          <w:sz w:val="24"/>
          <w:szCs w:val="24"/>
        </w:rPr>
        <w:t xml:space="preserve"> la vendita telematica“ sia pregiudizievole per gli interessi dei creditori o per il sollecito svolgimento della procedura”. Escluso recisamente che </w:t>
      </w:r>
      <w:r w:rsidR="002F202E">
        <w:rPr>
          <w:rFonts w:ascii="Times New Roman" w:hAnsi="Times New Roman" w:cs="Times New Roman"/>
          <w:sz w:val="24"/>
          <w:szCs w:val="24"/>
        </w:rPr>
        <w:t>tale inciso</w:t>
      </w:r>
      <w:r w:rsidR="00DA112E" w:rsidRPr="00DA725A">
        <w:rPr>
          <w:rFonts w:ascii="Times New Roman" w:hAnsi="Times New Roman" w:cs="Times New Roman"/>
          <w:sz w:val="24"/>
          <w:szCs w:val="24"/>
        </w:rPr>
        <w:t xml:space="preserve"> alluda in qualche modo alla vendita mista, la quale in</w:t>
      </w:r>
      <w:r w:rsidR="002F202E">
        <w:rPr>
          <w:rFonts w:ascii="Times New Roman" w:hAnsi="Times New Roman" w:cs="Times New Roman"/>
          <w:sz w:val="24"/>
          <w:szCs w:val="24"/>
        </w:rPr>
        <w:t>fatti</w:t>
      </w:r>
      <w:r w:rsidR="00DA112E" w:rsidRPr="00DA725A">
        <w:rPr>
          <w:rFonts w:ascii="Times New Roman" w:hAnsi="Times New Roman" w:cs="Times New Roman"/>
          <w:sz w:val="24"/>
          <w:szCs w:val="24"/>
        </w:rPr>
        <w:t xml:space="preserve"> è una modalità telematica (ancorché frammista con la possibilità di offerte analogiche), ed esc</w:t>
      </w:r>
      <w:r w:rsidR="002F202E">
        <w:rPr>
          <w:rFonts w:ascii="Times New Roman" w:hAnsi="Times New Roman" w:cs="Times New Roman"/>
          <w:sz w:val="24"/>
          <w:szCs w:val="24"/>
        </w:rPr>
        <w:t>l</w:t>
      </w:r>
      <w:r w:rsidR="00DA112E" w:rsidRPr="00DA725A">
        <w:rPr>
          <w:rFonts w:ascii="Times New Roman" w:hAnsi="Times New Roman" w:cs="Times New Roman"/>
          <w:sz w:val="24"/>
          <w:szCs w:val="24"/>
        </w:rPr>
        <w:t>uso altresì che si possa</w:t>
      </w:r>
      <w:r w:rsidR="008948EF">
        <w:rPr>
          <w:rFonts w:ascii="Times New Roman" w:hAnsi="Times New Roman" w:cs="Times New Roman"/>
          <w:sz w:val="24"/>
          <w:szCs w:val="24"/>
        </w:rPr>
        <w:t xml:space="preserve"> ritenere plausibile che sia lasciato all’interprete di considerare </w:t>
      </w:r>
      <w:r w:rsidR="002F202E">
        <w:rPr>
          <w:rFonts w:ascii="Times New Roman" w:hAnsi="Times New Roman" w:cs="Times New Roman"/>
          <w:sz w:val="24"/>
          <w:szCs w:val="24"/>
        </w:rPr>
        <w:t>in general</w:t>
      </w:r>
      <w:r w:rsidR="008948EF">
        <w:rPr>
          <w:rFonts w:ascii="Times New Roman" w:hAnsi="Times New Roman" w:cs="Times New Roman"/>
          <w:sz w:val="24"/>
          <w:szCs w:val="24"/>
        </w:rPr>
        <w:t>e</w:t>
      </w:r>
      <w:r w:rsidR="00DA112E" w:rsidRPr="00DA725A">
        <w:rPr>
          <w:rFonts w:ascii="Times New Roman" w:hAnsi="Times New Roman" w:cs="Times New Roman"/>
          <w:sz w:val="24"/>
          <w:szCs w:val="24"/>
        </w:rPr>
        <w:t xml:space="preserve"> la modalità telematica</w:t>
      </w:r>
      <w:r w:rsidR="008948EF">
        <w:rPr>
          <w:rFonts w:ascii="Times New Roman" w:hAnsi="Times New Roman" w:cs="Times New Roman"/>
          <w:sz w:val="24"/>
          <w:szCs w:val="24"/>
        </w:rPr>
        <w:t xml:space="preserve"> come</w:t>
      </w:r>
      <w:r w:rsidR="00DA112E" w:rsidRPr="00DA725A">
        <w:rPr>
          <w:rFonts w:ascii="Times New Roman" w:hAnsi="Times New Roman" w:cs="Times New Roman"/>
          <w:sz w:val="24"/>
          <w:szCs w:val="24"/>
        </w:rPr>
        <w:t xml:space="preserve"> nociva per gli interessi dei creditori ovvero per il sollecito svolgimento della procedura di vendita, ancora una volta il potere discrezionale del giudice</w:t>
      </w:r>
      <w:r w:rsidR="008948EF">
        <w:rPr>
          <w:rFonts w:ascii="Times New Roman" w:hAnsi="Times New Roman" w:cs="Times New Roman"/>
          <w:sz w:val="24"/>
          <w:szCs w:val="24"/>
        </w:rPr>
        <w:t xml:space="preserve"> dell’esecuzione</w:t>
      </w:r>
      <w:r w:rsidR="00DA112E" w:rsidRPr="00DA725A">
        <w:rPr>
          <w:rFonts w:ascii="Times New Roman" w:hAnsi="Times New Roman" w:cs="Times New Roman"/>
          <w:sz w:val="24"/>
          <w:szCs w:val="24"/>
        </w:rPr>
        <w:t xml:space="preserve"> sarà verosimilmente orientato dalla tipologia del bene.</w:t>
      </w:r>
    </w:p>
    <w:p w:rsidR="00DA112E" w:rsidRDefault="00DA112E"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In altre parole il giudice, </w:t>
      </w:r>
      <w:r w:rsidR="00676D0E">
        <w:rPr>
          <w:rFonts w:ascii="Times New Roman" w:hAnsi="Times New Roman" w:cs="Times New Roman"/>
          <w:sz w:val="24"/>
          <w:szCs w:val="24"/>
        </w:rPr>
        <w:t>supportato</w:t>
      </w:r>
      <w:r w:rsidRPr="00DA725A">
        <w:rPr>
          <w:rFonts w:ascii="Times New Roman" w:hAnsi="Times New Roman" w:cs="Times New Roman"/>
          <w:sz w:val="24"/>
          <w:szCs w:val="24"/>
        </w:rPr>
        <w:t xml:space="preserve"> da una adeguata sperimentazione della modalità telematica sulle varie tipol</w:t>
      </w:r>
      <w:r w:rsidR="002F202E">
        <w:rPr>
          <w:rFonts w:ascii="Times New Roman" w:hAnsi="Times New Roman" w:cs="Times New Roman"/>
          <w:sz w:val="24"/>
          <w:szCs w:val="24"/>
        </w:rPr>
        <w:t>o</w:t>
      </w:r>
      <w:r w:rsidRPr="00DA725A">
        <w:rPr>
          <w:rFonts w:ascii="Times New Roman" w:hAnsi="Times New Roman" w:cs="Times New Roman"/>
          <w:sz w:val="24"/>
          <w:szCs w:val="24"/>
        </w:rPr>
        <w:t xml:space="preserve">gie di beni (ben possibile in questa fase transitoria), potrà </w:t>
      </w:r>
      <w:r w:rsidR="008948EF">
        <w:rPr>
          <w:rFonts w:ascii="Times New Roman" w:hAnsi="Times New Roman" w:cs="Times New Roman"/>
          <w:sz w:val="24"/>
          <w:szCs w:val="24"/>
        </w:rPr>
        <w:t>partire dall’osservazione in base alla quale</w:t>
      </w:r>
      <w:r w:rsidRPr="00DA725A">
        <w:rPr>
          <w:rFonts w:ascii="Times New Roman" w:hAnsi="Times New Roman" w:cs="Times New Roman"/>
          <w:sz w:val="24"/>
          <w:szCs w:val="24"/>
        </w:rPr>
        <w:t xml:space="preserve"> mentre per beni di modesto o modestissimo valore (si pensi a piccoli alloggi in quartieri popolari o periferici di vasti centri urbani) si è potuto constatare l’assenza di offerte telematiche, verosimilmente a causa della scarsa alfabetizzazione digitale dei potenziali interessati, per altri beni (di medio valore) vi sono stati sia offerenti digitali che non, mentre per altri ancora (ad esempio immobili a destinazione commerciale o industriale) vi sono stati prevalentemente offerenti digitali</w:t>
      </w:r>
      <w:r w:rsidR="00C148DB">
        <w:rPr>
          <w:rFonts w:ascii="Times New Roman" w:hAnsi="Times New Roman" w:cs="Times New Roman"/>
          <w:sz w:val="24"/>
          <w:szCs w:val="24"/>
        </w:rPr>
        <w:t xml:space="preserve">. Egli potrà </w:t>
      </w:r>
      <w:r w:rsidRPr="00DA725A">
        <w:rPr>
          <w:rFonts w:ascii="Times New Roman" w:hAnsi="Times New Roman" w:cs="Times New Roman"/>
          <w:sz w:val="24"/>
          <w:szCs w:val="24"/>
        </w:rPr>
        <w:t xml:space="preserve">così prevedere solo offerte analogiche </w:t>
      </w:r>
      <w:r w:rsidR="008948EF">
        <w:rPr>
          <w:rFonts w:ascii="Times New Roman" w:hAnsi="Times New Roman" w:cs="Times New Roman"/>
          <w:sz w:val="24"/>
          <w:szCs w:val="24"/>
        </w:rPr>
        <w:t>per beni rientranti nella prima categoria</w:t>
      </w:r>
      <w:r w:rsidRPr="00DA725A">
        <w:rPr>
          <w:rFonts w:ascii="Times New Roman" w:hAnsi="Times New Roman" w:cs="Times New Roman"/>
          <w:sz w:val="24"/>
          <w:szCs w:val="24"/>
        </w:rPr>
        <w:t xml:space="preserve">; vendite miste </w:t>
      </w:r>
      <w:r w:rsidR="008948EF">
        <w:rPr>
          <w:rFonts w:ascii="Times New Roman" w:hAnsi="Times New Roman" w:cs="Times New Roman"/>
          <w:sz w:val="24"/>
          <w:szCs w:val="24"/>
        </w:rPr>
        <w:t>per beni della seconda</w:t>
      </w:r>
      <w:r w:rsidRPr="00DA725A">
        <w:rPr>
          <w:rFonts w:ascii="Times New Roman" w:hAnsi="Times New Roman" w:cs="Times New Roman"/>
          <w:sz w:val="24"/>
          <w:szCs w:val="24"/>
        </w:rPr>
        <w:t xml:space="preserve"> e solo telematiche </w:t>
      </w:r>
      <w:r w:rsidR="008948EF">
        <w:rPr>
          <w:rFonts w:ascii="Times New Roman" w:hAnsi="Times New Roman" w:cs="Times New Roman"/>
          <w:sz w:val="24"/>
          <w:szCs w:val="24"/>
        </w:rPr>
        <w:t>per beni della</w:t>
      </w:r>
      <w:r w:rsidRPr="00DA725A">
        <w:rPr>
          <w:rFonts w:ascii="Times New Roman" w:hAnsi="Times New Roman" w:cs="Times New Roman"/>
          <w:sz w:val="24"/>
          <w:szCs w:val="24"/>
        </w:rPr>
        <w:t xml:space="preserve"> </w:t>
      </w:r>
      <w:r w:rsidRPr="00DA725A">
        <w:rPr>
          <w:rFonts w:ascii="Times New Roman" w:hAnsi="Times New Roman" w:cs="Times New Roman"/>
          <w:sz w:val="24"/>
          <w:szCs w:val="24"/>
        </w:rPr>
        <w:lastRenderedPageBreak/>
        <w:t>terz</w:t>
      </w:r>
      <w:r w:rsidR="008948EF">
        <w:rPr>
          <w:rFonts w:ascii="Times New Roman" w:hAnsi="Times New Roman" w:cs="Times New Roman"/>
          <w:sz w:val="24"/>
          <w:szCs w:val="24"/>
        </w:rPr>
        <w:t>a</w:t>
      </w:r>
      <w:r w:rsidRPr="00DA725A">
        <w:rPr>
          <w:rFonts w:ascii="Times New Roman" w:hAnsi="Times New Roman" w:cs="Times New Roman"/>
          <w:sz w:val="24"/>
          <w:szCs w:val="24"/>
        </w:rPr>
        <w:t>. Fermo restando che nella prima fase appare ancora una volta da sottolinearsi l’opportunità di evitare la vendita solo telematica.</w:t>
      </w:r>
    </w:p>
    <w:p w:rsidR="008948EF" w:rsidRDefault="008948EF"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Il tutto però in un’ottica peraltro di progressiva erosione dello spazio lasciato alle offerte analogiche, a misura che la familiarità col sistema “telematico” conquisterà una crescente platea di offerenti.</w:t>
      </w:r>
    </w:p>
    <w:p w:rsidR="008948EF" w:rsidRPr="008948EF" w:rsidRDefault="008948EF"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Chiaramente scelte di questo tipo, o altre similari nel metodo, saranno opportunamente supportate da delibere a livello di Sezione ai sensi dell’art.47 </w:t>
      </w:r>
      <w:r>
        <w:rPr>
          <w:rFonts w:ascii="Times New Roman" w:hAnsi="Times New Roman" w:cs="Times New Roman"/>
          <w:i/>
          <w:sz w:val="24"/>
          <w:szCs w:val="24"/>
        </w:rPr>
        <w:t xml:space="preserve">quater, </w:t>
      </w:r>
      <w:proofErr w:type="spellStart"/>
      <w:r>
        <w:rPr>
          <w:rFonts w:ascii="Times New Roman" w:hAnsi="Times New Roman" w:cs="Times New Roman"/>
          <w:sz w:val="24"/>
          <w:szCs w:val="24"/>
        </w:rPr>
        <w:t>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giud</w:t>
      </w:r>
      <w:proofErr w:type="spellEnd"/>
      <w:r>
        <w:rPr>
          <w:rFonts w:ascii="Times New Roman" w:hAnsi="Times New Roman" w:cs="Times New Roman"/>
          <w:sz w:val="24"/>
          <w:szCs w:val="24"/>
        </w:rPr>
        <w:t>.</w:t>
      </w:r>
    </w:p>
    <w:p w:rsidR="00BB6A5E" w:rsidRDefault="00BB6A5E" w:rsidP="00403302">
      <w:pPr>
        <w:spacing w:line="240" w:lineRule="auto"/>
        <w:jc w:val="both"/>
        <w:rPr>
          <w:rFonts w:ascii="Times New Roman" w:hAnsi="Times New Roman" w:cs="Times New Roman"/>
          <w:sz w:val="24"/>
          <w:szCs w:val="24"/>
        </w:rPr>
      </w:pPr>
    </w:p>
    <w:p w:rsidR="00BB6A5E" w:rsidRPr="00BB6A5E" w:rsidRDefault="00BB6A5E" w:rsidP="00403302">
      <w:pPr>
        <w:spacing w:line="240" w:lineRule="auto"/>
        <w:jc w:val="both"/>
        <w:rPr>
          <w:rFonts w:ascii="Times New Roman" w:hAnsi="Times New Roman" w:cs="Times New Roman"/>
          <w:b/>
          <w:sz w:val="24"/>
          <w:szCs w:val="24"/>
        </w:rPr>
      </w:pPr>
      <w:r>
        <w:rPr>
          <w:rFonts w:ascii="Times New Roman" w:hAnsi="Times New Roman" w:cs="Times New Roman"/>
          <w:b/>
          <w:sz w:val="24"/>
          <w:szCs w:val="24"/>
        </w:rPr>
        <w:t>4. MODALITA’ DELLE VENDITE E VERBALIZZAZIONE</w:t>
      </w:r>
    </w:p>
    <w:p w:rsidR="00B217E9" w:rsidRDefault="00B217E9"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Non sarà vano ora accennare molto brevemente alle concrete modalità con cui si svolge una vendita telematica.</w:t>
      </w:r>
    </w:p>
    <w:p w:rsidR="00525A6B" w:rsidRDefault="00525A6B"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Prelim</w:t>
      </w:r>
      <w:r w:rsidR="00F25040">
        <w:rPr>
          <w:rFonts w:ascii="Times New Roman" w:hAnsi="Times New Roman" w:cs="Times New Roman"/>
          <w:sz w:val="24"/>
          <w:szCs w:val="24"/>
        </w:rPr>
        <w:t>i</w:t>
      </w:r>
      <w:r>
        <w:rPr>
          <w:rFonts w:ascii="Times New Roman" w:hAnsi="Times New Roman" w:cs="Times New Roman"/>
          <w:sz w:val="24"/>
          <w:szCs w:val="24"/>
        </w:rPr>
        <w:t>narmente l’interessato compulserà un sito pubblicitario o direttamente il portale.</w:t>
      </w:r>
    </w:p>
    <w:p w:rsidR="00525A6B" w:rsidRDefault="00525A6B" w:rsidP="00403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L’offerta</w:t>
      </w:r>
      <w:r w:rsidR="00F774F3">
        <w:rPr>
          <w:rFonts w:ascii="Times New Roman" w:hAnsi="Times New Roman" w:cs="Times New Roman"/>
          <w:sz w:val="24"/>
          <w:szCs w:val="24"/>
        </w:rPr>
        <w:t xml:space="preserve"> - che si considera depositata</w:t>
      </w:r>
      <w:r w:rsidR="00F774F3">
        <w:rPr>
          <w:rFonts w:ascii="Times New Roman" w:hAnsi="Times New Roman" w:cs="Times New Roman"/>
          <w:color w:val="231F20"/>
          <w:sz w:val="21"/>
          <w:szCs w:val="21"/>
        </w:rPr>
        <w:t xml:space="preserve"> </w:t>
      </w:r>
      <w:r w:rsidR="00F774F3" w:rsidRPr="00C2690F">
        <w:rPr>
          <w:rFonts w:ascii="Times New Roman" w:hAnsi="Times New Roman" w:cs="Times New Roman"/>
          <w:sz w:val="24"/>
          <w:szCs w:val="24"/>
        </w:rPr>
        <w:t>nel momento in cui</w:t>
      </w:r>
      <w:r w:rsidR="00F774F3">
        <w:rPr>
          <w:rFonts w:ascii="Times New Roman" w:hAnsi="Times New Roman" w:cs="Times New Roman"/>
          <w:sz w:val="24"/>
          <w:szCs w:val="24"/>
        </w:rPr>
        <w:t xml:space="preserve"> </w:t>
      </w:r>
      <w:r w:rsidR="00F774F3" w:rsidRPr="00C2690F">
        <w:rPr>
          <w:rFonts w:ascii="Times New Roman" w:hAnsi="Times New Roman" w:cs="Times New Roman"/>
          <w:sz w:val="24"/>
          <w:szCs w:val="24"/>
        </w:rPr>
        <w:t xml:space="preserve">viene generata la ricevuta completa di avvenuta consegna da parte del gestore di posta elettronica certificata del ministero della giustizia </w:t>
      </w:r>
      <w:r w:rsidR="00F774F3">
        <w:rPr>
          <w:rFonts w:ascii="Times New Roman" w:hAnsi="Times New Roman" w:cs="Times New Roman"/>
          <w:sz w:val="24"/>
          <w:szCs w:val="24"/>
        </w:rPr>
        <w:t xml:space="preserve"> - completa di tutti i dati e i documenti richiesti</w:t>
      </w:r>
      <w:r w:rsidR="00B94034">
        <w:rPr>
          <w:rFonts w:ascii="Times New Roman" w:hAnsi="Times New Roman" w:cs="Times New Roman"/>
          <w:sz w:val="24"/>
          <w:szCs w:val="24"/>
        </w:rPr>
        <w:t xml:space="preserve"> e redatta e cifrata mediante un software realizzato dal Ministero</w:t>
      </w:r>
      <w:r w:rsidR="00F774F3">
        <w:rPr>
          <w:rFonts w:ascii="Times New Roman" w:hAnsi="Times New Roman" w:cs="Times New Roman"/>
          <w:sz w:val="24"/>
          <w:szCs w:val="24"/>
        </w:rPr>
        <w:t xml:space="preserve">, </w:t>
      </w:r>
      <w:r>
        <w:rPr>
          <w:rFonts w:ascii="Times New Roman" w:hAnsi="Times New Roman" w:cs="Times New Roman"/>
          <w:sz w:val="24"/>
          <w:szCs w:val="24"/>
        </w:rPr>
        <w:t xml:space="preserve"> verrà quindi</w:t>
      </w:r>
      <w:r w:rsidR="00C148DB">
        <w:rPr>
          <w:rFonts w:ascii="Times New Roman" w:hAnsi="Times New Roman" w:cs="Times New Roman"/>
          <w:sz w:val="24"/>
          <w:szCs w:val="24"/>
        </w:rPr>
        <w:t xml:space="preserve"> inviata al suddetto indirizzo </w:t>
      </w:r>
      <w:proofErr w:type="spellStart"/>
      <w:r w:rsidR="00C148DB">
        <w:rPr>
          <w:rFonts w:ascii="Times New Roman" w:hAnsi="Times New Roman" w:cs="Times New Roman"/>
          <w:sz w:val="24"/>
          <w:szCs w:val="24"/>
        </w:rPr>
        <w:t>pec</w:t>
      </w:r>
      <w:proofErr w:type="spellEnd"/>
      <w:r w:rsidR="00C148DB">
        <w:rPr>
          <w:rFonts w:ascii="Times New Roman" w:hAnsi="Times New Roman" w:cs="Times New Roman"/>
          <w:sz w:val="24"/>
          <w:szCs w:val="24"/>
        </w:rPr>
        <w:t xml:space="preserve"> del ministero</w:t>
      </w:r>
      <w:r>
        <w:rPr>
          <w:rFonts w:ascii="Times New Roman" w:hAnsi="Times New Roman" w:cs="Times New Roman"/>
          <w:sz w:val="24"/>
          <w:szCs w:val="24"/>
        </w:rPr>
        <w:t xml:space="preserve"> a cura dell’offerente. Dal portale quindi la stessa verrà inviata, in prossimità della gara, al gestore della vendita telematica.</w:t>
      </w:r>
    </w:p>
    <w:p w:rsidR="00B217E9" w:rsidRDefault="00525A6B" w:rsidP="00403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questo punto</w:t>
      </w:r>
      <w:r w:rsidR="00B217E9" w:rsidRPr="0031637D">
        <w:rPr>
          <w:rFonts w:ascii="Times New Roman" w:hAnsi="Times New Roman" w:cs="Times New Roman"/>
          <w:sz w:val="24"/>
          <w:szCs w:val="24"/>
        </w:rPr>
        <w:t xml:space="preserve"> l’art.16 del </w:t>
      </w:r>
      <w:proofErr w:type="spellStart"/>
      <w:r w:rsidR="00B217E9" w:rsidRPr="0031637D">
        <w:rPr>
          <w:rFonts w:ascii="Times New Roman" w:hAnsi="Times New Roman" w:cs="Times New Roman"/>
          <w:sz w:val="24"/>
          <w:szCs w:val="24"/>
        </w:rPr>
        <w:t>d.m.</w:t>
      </w:r>
      <w:proofErr w:type="spellEnd"/>
      <w:r w:rsidR="00B217E9" w:rsidRPr="0031637D">
        <w:rPr>
          <w:rFonts w:ascii="Times New Roman" w:hAnsi="Times New Roman" w:cs="Times New Roman"/>
          <w:sz w:val="24"/>
          <w:szCs w:val="24"/>
        </w:rPr>
        <w:t xml:space="preserve"> prevede che </w:t>
      </w:r>
      <w:r w:rsidR="00B217E9" w:rsidRPr="00676D0E">
        <w:rPr>
          <w:rFonts w:ascii="Times New Roman" w:hAnsi="Times New Roman" w:cs="Times New Roman"/>
          <w:sz w:val="24"/>
          <w:szCs w:val="24"/>
        </w:rPr>
        <w:t>almeno trenta minuti prima dell’inizio delle operazioni</w:t>
      </w:r>
      <w:r w:rsidR="0031637D" w:rsidRPr="00676D0E">
        <w:rPr>
          <w:rFonts w:ascii="Times New Roman" w:hAnsi="Times New Roman" w:cs="Times New Roman"/>
          <w:sz w:val="24"/>
          <w:szCs w:val="24"/>
        </w:rPr>
        <w:t xml:space="preserve"> </w:t>
      </w:r>
      <w:r w:rsidR="00B217E9" w:rsidRPr="00676D0E">
        <w:rPr>
          <w:rFonts w:ascii="Times New Roman" w:hAnsi="Times New Roman" w:cs="Times New Roman"/>
          <w:sz w:val="24"/>
          <w:szCs w:val="24"/>
        </w:rPr>
        <w:t>di vendita il gestore</w:t>
      </w:r>
      <w:r w:rsidR="0031637D" w:rsidRPr="00676D0E">
        <w:rPr>
          <w:rFonts w:ascii="Times New Roman" w:hAnsi="Times New Roman" w:cs="Times New Roman"/>
          <w:sz w:val="24"/>
          <w:szCs w:val="24"/>
        </w:rPr>
        <w:t xml:space="preserve"> della vendita telematica invi</w:t>
      </w:r>
      <w:r>
        <w:rPr>
          <w:rFonts w:ascii="Times New Roman" w:hAnsi="Times New Roman" w:cs="Times New Roman"/>
          <w:sz w:val="24"/>
          <w:szCs w:val="24"/>
        </w:rPr>
        <w:t>i</w:t>
      </w:r>
      <w:r w:rsidR="0031637D" w:rsidRPr="00676D0E">
        <w:rPr>
          <w:rFonts w:ascii="Times New Roman" w:hAnsi="Times New Roman" w:cs="Times New Roman"/>
          <w:sz w:val="24"/>
          <w:szCs w:val="24"/>
        </w:rPr>
        <w:t xml:space="preserve"> </w:t>
      </w:r>
      <w:r w:rsidR="00B217E9" w:rsidRPr="00676D0E">
        <w:rPr>
          <w:rFonts w:ascii="Times New Roman" w:hAnsi="Times New Roman" w:cs="Times New Roman"/>
          <w:sz w:val="24"/>
          <w:szCs w:val="24"/>
        </w:rPr>
        <w:t xml:space="preserve">all’indirizzo di </w:t>
      </w:r>
      <w:proofErr w:type="spellStart"/>
      <w:r w:rsidR="00B217E9" w:rsidRPr="00676D0E">
        <w:rPr>
          <w:rFonts w:ascii="Times New Roman" w:hAnsi="Times New Roman" w:cs="Times New Roman"/>
          <w:sz w:val="24"/>
          <w:szCs w:val="24"/>
        </w:rPr>
        <w:t>pec</w:t>
      </w:r>
      <w:proofErr w:type="spellEnd"/>
      <w:r w:rsidR="0031637D" w:rsidRPr="00676D0E">
        <w:rPr>
          <w:rFonts w:ascii="Times New Roman" w:hAnsi="Times New Roman" w:cs="Times New Roman"/>
          <w:sz w:val="24"/>
          <w:szCs w:val="24"/>
        </w:rPr>
        <w:t xml:space="preserve"> indicato </w:t>
      </w:r>
      <w:r w:rsidR="00B217E9" w:rsidRPr="00676D0E">
        <w:rPr>
          <w:rFonts w:ascii="Times New Roman" w:hAnsi="Times New Roman" w:cs="Times New Roman"/>
          <w:sz w:val="24"/>
          <w:szCs w:val="24"/>
        </w:rPr>
        <w:t>nell’offerta un invito a connettersi al proprio portale. U</w:t>
      </w:r>
      <w:r w:rsidR="0031637D" w:rsidRPr="00676D0E">
        <w:rPr>
          <w:rFonts w:ascii="Times New Roman" w:hAnsi="Times New Roman" w:cs="Times New Roman"/>
          <w:sz w:val="24"/>
          <w:szCs w:val="24"/>
        </w:rPr>
        <w:t xml:space="preserve">n </w:t>
      </w:r>
      <w:r w:rsidR="00B217E9" w:rsidRPr="00676D0E">
        <w:rPr>
          <w:rFonts w:ascii="Times New Roman" w:hAnsi="Times New Roman" w:cs="Times New Roman"/>
          <w:sz w:val="24"/>
          <w:szCs w:val="24"/>
        </w:rPr>
        <w:t>estratto dell’invito di cui al</w:t>
      </w:r>
      <w:r w:rsidR="0031637D" w:rsidRPr="00676D0E">
        <w:rPr>
          <w:rFonts w:ascii="Times New Roman" w:hAnsi="Times New Roman" w:cs="Times New Roman"/>
          <w:sz w:val="24"/>
          <w:szCs w:val="24"/>
        </w:rPr>
        <w:t xml:space="preserve"> periodo precedente è trasmesso </w:t>
      </w:r>
      <w:r w:rsidR="00B217E9" w:rsidRPr="00676D0E">
        <w:rPr>
          <w:rFonts w:ascii="Times New Roman" w:hAnsi="Times New Roman" w:cs="Times New Roman"/>
          <w:sz w:val="24"/>
          <w:szCs w:val="24"/>
        </w:rPr>
        <w:t>dal gestore, a mezzo SMS, al recapito di telefonia mobile dell’offerente (come detto indicato nell’offerta). Il gestore</w:t>
      </w:r>
      <w:r w:rsidR="00F030BF" w:rsidRPr="00676D0E">
        <w:rPr>
          <w:rFonts w:ascii="Times New Roman" w:hAnsi="Times New Roman" w:cs="Times New Roman"/>
          <w:sz w:val="24"/>
          <w:szCs w:val="24"/>
        </w:rPr>
        <w:t xml:space="preserve"> quindi </w:t>
      </w:r>
      <w:r w:rsidR="00B217E9" w:rsidRPr="00676D0E">
        <w:rPr>
          <w:rFonts w:ascii="Times New Roman" w:hAnsi="Times New Roman" w:cs="Times New Roman"/>
          <w:sz w:val="24"/>
          <w:szCs w:val="24"/>
        </w:rPr>
        <w:t>invia alla casella di</w:t>
      </w:r>
      <w:r w:rsidR="00F030BF" w:rsidRPr="00676D0E">
        <w:rPr>
          <w:rFonts w:ascii="Times New Roman" w:hAnsi="Times New Roman" w:cs="Times New Roman"/>
          <w:sz w:val="24"/>
          <w:szCs w:val="24"/>
        </w:rPr>
        <w:t xml:space="preserve"> p.e. indicata nell’offerta</w:t>
      </w:r>
      <w:r w:rsidR="00B217E9" w:rsidRPr="00676D0E">
        <w:rPr>
          <w:rFonts w:ascii="Times New Roman" w:hAnsi="Times New Roman" w:cs="Times New Roman"/>
          <w:sz w:val="24"/>
          <w:szCs w:val="24"/>
        </w:rPr>
        <w:t xml:space="preserve"> le credenziali per l’accesso al proprio portale</w:t>
      </w:r>
      <w:r w:rsidR="00F030BF" w:rsidRPr="00676D0E">
        <w:rPr>
          <w:rFonts w:ascii="Times New Roman" w:hAnsi="Times New Roman" w:cs="Times New Roman"/>
          <w:sz w:val="24"/>
          <w:szCs w:val="24"/>
        </w:rPr>
        <w:t>.</w:t>
      </w:r>
    </w:p>
    <w:p w:rsidR="00525A6B" w:rsidRPr="00676D0E" w:rsidRDefault="00525A6B" w:rsidP="00403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L’asta verrà gestita direttamente dal referente della procedura utilizzando la piattaforma telematica </w:t>
      </w:r>
      <w:r w:rsidR="00CD6A01">
        <w:rPr>
          <w:rFonts w:ascii="Times New Roman" w:hAnsi="Times New Roman" w:cs="Times New Roman"/>
          <w:sz w:val="24"/>
          <w:szCs w:val="24"/>
        </w:rPr>
        <w:t>del gestore della vendita</w:t>
      </w:r>
      <w:r w:rsidR="00F25040">
        <w:rPr>
          <w:rFonts w:ascii="Times New Roman" w:hAnsi="Times New Roman" w:cs="Times New Roman"/>
          <w:sz w:val="24"/>
          <w:szCs w:val="24"/>
        </w:rPr>
        <w:t xml:space="preserve"> (sempre, anche in caso di vendita mista e ancorché non siano concretamente state presentate in tal caso che offerte analogiche; esclusa quindi solo l’ipotesi in cui tutto sia fatto con formalità analogiche).</w:t>
      </w:r>
    </w:p>
    <w:p w:rsidR="00F030BF" w:rsidRPr="00676D0E" w:rsidRDefault="00F030BF" w:rsidP="00403302">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 xml:space="preserve">L’art.19 del </w:t>
      </w:r>
      <w:proofErr w:type="spellStart"/>
      <w:r w:rsidRPr="00676D0E">
        <w:rPr>
          <w:rFonts w:ascii="Times New Roman" w:hAnsi="Times New Roman" w:cs="Times New Roman"/>
          <w:sz w:val="24"/>
          <w:szCs w:val="24"/>
        </w:rPr>
        <w:t>d.m.</w:t>
      </w:r>
      <w:proofErr w:type="spellEnd"/>
      <w:r w:rsidRPr="00676D0E">
        <w:rPr>
          <w:rFonts w:ascii="Times New Roman" w:hAnsi="Times New Roman" w:cs="Times New Roman"/>
          <w:sz w:val="24"/>
          <w:szCs w:val="24"/>
        </w:rPr>
        <w:t xml:space="preserve"> prevede </w:t>
      </w:r>
      <w:r w:rsidR="000F3C44">
        <w:rPr>
          <w:rFonts w:ascii="Times New Roman" w:hAnsi="Times New Roman" w:cs="Times New Roman"/>
          <w:sz w:val="24"/>
          <w:szCs w:val="24"/>
        </w:rPr>
        <w:t xml:space="preserve">che </w:t>
      </w:r>
      <w:r w:rsidRPr="00676D0E">
        <w:rPr>
          <w:rFonts w:ascii="Times New Roman" w:hAnsi="Times New Roman" w:cs="Times New Roman"/>
          <w:sz w:val="24"/>
          <w:szCs w:val="24"/>
        </w:rPr>
        <w:t>i rilanci e le osservazioni di ciascun offerente s</w:t>
      </w:r>
      <w:r w:rsidR="000F3C44">
        <w:rPr>
          <w:rFonts w:ascii="Times New Roman" w:hAnsi="Times New Roman" w:cs="Times New Roman"/>
          <w:sz w:val="24"/>
          <w:szCs w:val="24"/>
        </w:rPr>
        <w:t>iano</w:t>
      </w:r>
    </w:p>
    <w:p w:rsidR="00F030BF" w:rsidRPr="00676D0E" w:rsidRDefault="00F030BF" w:rsidP="00403302">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riportati nel portale del ges</w:t>
      </w:r>
      <w:r w:rsidR="0031637D" w:rsidRPr="00676D0E">
        <w:rPr>
          <w:rFonts w:ascii="Times New Roman" w:hAnsi="Times New Roman" w:cs="Times New Roman"/>
          <w:sz w:val="24"/>
          <w:szCs w:val="24"/>
        </w:rPr>
        <w:t>tore della vendita telematica e</w:t>
      </w:r>
      <w:r w:rsidR="00525A6B">
        <w:rPr>
          <w:rFonts w:ascii="Times New Roman" w:hAnsi="Times New Roman" w:cs="Times New Roman"/>
          <w:sz w:val="24"/>
          <w:szCs w:val="24"/>
        </w:rPr>
        <w:t xml:space="preserve"> </w:t>
      </w:r>
      <w:r w:rsidRPr="00676D0E">
        <w:rPr>
          <w:rFonts w:ascii="Times New Roman" w:hAnsi="Times New Roman" w:cs="Times New Roman"/>
          <w:sz w:val="24"/>
          <w:szCs w:val="24"/>
        </w:rPr>
        <w:t>resi visibili agli altri partecip</w:t>
      </w:r>
      <w:r w:rsidR="0031637D" w:rsidRPr="00676D0E">
        <w:rPr>
          <w:rFonts w:ascii="Times New Roman" w:hAnsi="Times New Roman" w:cs="Times New Roman"/>
          <w:sz w:val="24"/>
          <w:szCs w:val="24"/>
        </w:rPr>
        <w:t xml:space="preserve">anti, al giudice o al referente </w:t>
      </w:r>
      <w:r w:rsidRPr="00676D0E">
        <w:rPr>
          <w:rFonts w:ascii="Times New Roman" w:hAnsi="Times New Roman" w:cs="Times New Roman"/>
          <w:sz w:val="24"/>
          <w:szCs w:val="24"/>
        </w:rPr>
        <w:t xml:space="preserve">della procedura. A sua volta l’art.23 dispone in tema di verbalizzazione dell’asta, prevedendo che </w:t>
      </w:r>
      <w:r w:rsidR="0031637D" w:rsidRPr="00676D0E">
        <w:rPr>
          <w:rFonts w:ascii="Times New Roman" w:hAnsi="Times New Roman" w:cs="Times New Roman"/>
          <w:sz w:val="24"/>
          <w:szCs w:val="24"/>
        </w:rPr>
        <w:t>il referente</w:t>
      </w:r>
      <w:r w:rsidRPr="00676D0E">
        <w:rPr>
          <w:rFonts w:ascii="Times New Roman" w:hAnsi="Times New Roman" w:cs="Times New Roman"/>
          <w:sz w:val="24"/>
          <w:szCs w:val="24"/>
        </w:rPr>
        <w:t xml:space="preserve"> p</w:t>
      </w:r>
      <w:r w:rsidR="000F3C44">
        <w:rPr>
          <w:rFonts w:ascii="Times New Roman" w:hAnsi="Times New Roman" w:cs="Times New Roman"/>
          <w:sz w:val="24"/>
          <w:szCs w:val="24"/>
        </w:rPr>
        <w:t>ossa</w:t>
      </w:r>
      <w:r w:rsidRPr="00676D0E">
        <w:rPr>
          <w:rFonts w:ascii="Times New Roman" w:hAnsi="Times New Roman" w:cs="Times New Roman"/>
          <w:sz w:val="24"/>
          <w:szCs w:val="24"/>
        </w:rPr>
        <w:t xml:space="preserve"> utilizzare all’uopo </w:t>
      </w:r>
      <w:r w:rsidR="0031637D" w:rsidRPr="00676D0E">
        <w:rPr>
          <w:rFonts w:ascii="Times New Roman" w:hAnsi="Times New Roman" w:cs="Times New Roman"/>
          <w:sz w:val="24"/>
          <w:szCs w:val="24"/>
        </w:rPr>
        <w:t xml:space="preserve"> i dati riportati nel portale ivi immessi nel corso </w:t>
      </w:r>
      <w:r w:rsidRPr="00676D0E">
        <w:rPr>
          <w:rFonts w:ascii="Times New Roman" w:hAnsi="Times New Roman" w:cs="Times New Roman"/>
          <w:sz w:val="24"/>
          <w:szCs w:val="24"/>
        </w:rPr>
        <w:t xml:space="preserve">delle operazioni e che </w:t>
      </w:r>
      <w:r w:rsidR="0031637D" w:rsidRPr="00676D0E">
        <w:rPr>
          <w:rFonts w:ascii="Times New Roman" w:hAnsi="Times New Roman" w:cs="Times New Roman"/>
          <w:sz w:val="24"/>
          <w:szCs w:val="24"/>
        </w:rPr>
        <w:t>il gestore de</w:t>
      </w:r>
      <w:r w:rsidR="00DB026E">
        <w:rPr>
          <w:rFonts w:ascii="Times New Roman" w:hAnsi="Times New Roman" w:cs="Times New Roman"/>
          <w:sz w:val="24"/>
          <w:szCs w:val="24"/>
        </w:rPr>
        <w:t>bba</w:t>
      </w:r>
      <w:r w:rsidR="0031637D" w:rsidRPr="00676D0E">
        <w:rPr>
          <w:rFonts w:ascii="Times New Roman" w:hAnsi="Times New Roman" w:cs="Times New Roman"/>
          <w:sz w:val="24"/>
          <w:szCs w:val="24"/>
        </w:rPr>
        <w:t xml:space="preserve"> trasmettere </w:t>
      </w:r>
      <w:r w:rsidRPr="00676D0E">
        <w:rPr>
          <w:rFonts w:ascii="Times New Roman" w:hAnsi="Times New Roman" w:cs="Times New Roman"/>
          <w:sz w:val="24"/>
          <w:szCs w:val="24"/>
        </w:rPr>
        <w:t>un elenco, sottoscritto con fi</w:t>
      </w:r>
      <w:r w:rsidR="0031637D" w:rsidRPr="00676D0E">
        <w:rPr>
          <w:rFonts w:ascii="Times New Roman" w:hAnsi="Times New Roman" w:cs="Times New Roman"/>
          <w:sz w:val="24"/>
          <w:szCs w:val="24"/>
        </w:rPr>
        <w:t xml:space="preserve">rma digitale, dei rilanci </w:t>
      </w:r>
      <w:r w:rsidRPr="00676D0E">
        <w:rPr>
          <w:rFonts w:ascii="Times New Roman" w:hAnsi="Times New Roman" w:cs="Times New Roman"/>
          <w:sz w:val="24"/>
          <w:szCs w:val="24"/>
        </w:rPr>
        <w:t>e di coloro che li hanno effettuati, i dati identifi</w:t>
      </w:r>
      <w:r w:rsidR="0031637D" w:rsidRPr="00676D0E">
        <w:rPr>
          <w:rFonts w:ascii="Times New Roman" w:hAnsi="Times New Roman" w:cs="Times New Roman"/>
          <w:sz w:val="24"/>
          <w:szCs w:val="24"/>
        </w:rPr>
        <w:t xml:space="preserve">cativi </w:t>
      </w:r>
      <w:r w:rsidRPr="00676D0E">
        <w:rPr>
          <w:rFonts w:ascii="Times New Roman" w:hAnsi="Times New Roman" w:cs="Times New Roman"/>
          <w:sz w:val="24"/>
          <w:szCs w:val="24"/>
        </w:rPr>
        <w:t>dell’aggiudicatario, la c</w:t>
      </w:r>
      <w:r w:rsidR="0031637D" w:rsidRPr="00676D0E">
        <w:rPr>
          <w:rFonts w:ascii="Times New Roman" w:hAnsi="Times New Roman" w:cs="Times New Roman"/>
          <w:sz w:val="24"/>
          <w:szCs w:val="24"/>
        </w:rPr>
        <w:t xml:space="preserve">auzione da quest’ultimo versata </w:t>
      </w:r>
      <w:r w:rsidRPr="00676D0E">
        <w:rPr>
          <w:rFonts w:ascii="Times New Roman" w:hAnsi="Times New Roman" w:cs="Times New Roman"/>
          <w:sz w:val="24"/>
          <w:szCs w:val="24"/>
        </w:rPr>
        <w:t>e il prezzo di aggiudicazione, nonché i dati identificativi</w:t>
      </w:r>
    </w:p>
    <w:p w:rsidR="00F030BF" w:rsidRPr="00676D0E" w:rsidRDefault="00F030BF" w:rsidP="00403302">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 xml:space="preserve">degli altri offerenti, le </w:t>
      </w:r>
      <w:r w:rsidR="0031637D" w:rsidRPr="00676D0E">
        <w:rPr>
          <w:rFonts w:ascii="Times New Roman" w:hAnsi="Times New Roman" w:cs="Times New Roman"/>
          <w:sz w:val="24"/>
          <w:szCs w:val="24"/>
        </w:rPr>
        <w:t xml:space="preserve">cauzioni dagli stessi versate e </w:t>
      </w:r>
      <w:r w:rsidRPr="00676D0E">
        <w:rPr>
          <w:rFonts w:ascii="Times New Roman" w:hAnsi="Times New Roman" w:cs="Times New Roman"/>
          <w:sz w:val="24"/>
          <w:szCs w:val="24"/>
        </w:rPr>
        <w:t>gli estremi dei conti bancari</w:t>
      </w:r>
      <w:r w:rsidR="0031637D" w:rsidRPr="00676D0E">
        <w:rPr>
          <w:rFonts w:ascii="Times New Roman" w:hAnsi="Times New Roman" w:cs="Times New Roman"/>
          <w:sz w:val="24"/>
          <w:szCs w:val="24"/>
        </w:rPr>
        <w:t xml:space="preserve"> o postali sui quali sono state</w:t>
      </w:r>
      <w:r w:rsidR="00676D0E">
        <w:rPr>
          <w:rFonts w:ascii="Times New Roman" w:hAnsi="Times New Roman" w:cs="Times New Roman"/>
          <w:sz w:val="24"/>
          <w:szCs w:val="24"/>
        </w:rPr>
        <w:t xml:space="preserve"> </w:t>
      </w:r>
      <w:r w:rsidRPr="00676D0E">
        <w:rPr>
          <w:rFonts w:ascii="Times New Roman" w:hAnsi="Times New Roman" w:cs="Times New Roman"/>
          <w:sz w:val="24"/>
          <w:szCs w:val="24"/>
        </w:rPr>
        <w:t>addebitate.</w:t>
      </w:r>
    </w:p>
    <w:p w:rsidR="00F030BF" w:rsidRPr="00676D0E" w:rsidRDefault="00F030BF" w:rsidP="00403302">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lastRenderedPageBreak/>
        <w:t>Nel caso specifico della vendita asincrona, ricevute le of</w:t>
      </w:r>
      <w:r w:rsidR="0031637D" w:rsidRPr="00676D0E">
        <w:rPr>
          <w:rFonts w:ascii="Times New Roman" w:hAnsi="Times New Roman" w:cs="Times New Roman"/>
          <w:sz w:val="24"/>
          <w:szCs w:val="24"/>
        </w:rPr>
        <w:t xml:space="preserve">ferte, </w:t>
      </w:r>
      <w:r w:rsidRPr="00676D0E">
        <w:rPr>
          <w:rFonts w:ascii="Times New Roman" w:hAnsi="Times New Roman" w:cs="Times New Roman"/>
          <w:sz w:val="24"/>
          <w:szCs w:val="24"/>
        </w:rPr>
        <w:t>il referente del</w:t>
      </w:r>
      <w:r w:rsidR="0031637D" w:rsidRPr="00676D0E">
        <w:rPr>
          <w:rFonts w:ascii="Times New Roman" w:hAnsi="Times New Roman" w:cs="Times New Roman"/>
          <w:sz w:val="24"/>
          <w:szCs w:val="24"/>
        </w:rPr>
        <w:t xml:space="preserve">la procedura sente le parti e i </w:t>
      </w:r>
      <w:r w:rsidRPr="00676D0E">
        <w:rPr>
          <w:rFonts w:ascii="Times New Roman" w:hAnsi="Times New Roman" w:cs="Times New Roman"/>
          <w:sz w:val="24"/>
          <w:szCs w:val="24"/>
        </w:rPr>
        <w:t>creditori iscritti non intervenuti, compie le verifiche di rito sugli offerenti e li invita</w:t>
      </w:r>
      <w:r w:rsidR="0031637D" w:rsidRPr="00676D0E">
        <w:rPr>
          <w:rFonts w:ascii="Times New Roman" w:hAnsi="Times New Roman" w:cs="Times New Roman"/>
          <w:sz w:val="24"/>
          <w:szCs w:val="24"/>
        </w:rPr>
        <w:t xml:space="preserve"> a una gara sull’offerta </w:t>
      </w:r>
      <w:r w:rsidRPr="00676D0E">
        <w:rPr>
          <w:rFonts w:ascii="Times New Roman" w:hAnsi="Times New Roman" w:cs="Times New Roman"/>
          <w:sz w:val="24"/>
          <w:szCs w:val="24"/>
        </w:rPr>
        <w:t>più alta. Il gestore della</w:t>
      </w:r>
    </w:p>
    <w:p w:rsidR="00F030BF" w:rsidRDefault="00F030BF" w:rsidP="00403302">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vendita telematica comunic</w:t>
      </w:r>
      <w:r w:rsidR="0031637D" w:rsidRPr="00676D0E">
        <w:rPr>
          <w:rFonts w:ascii="Times New Roman" w:hAnsi="Times New Roman" w:cs="Times New Roman"/>
          <w:sz w:val="24"/>
          <w:szCs w:val="24"/>
        </w:rPr>
        <w:t xml:space="preserve">a ai partecipanti ogni rilancio </w:t>
      </w:r>
      <w:r w:rsidRPr="00676D0E">
        <w:rPr>
          <w:rFonts w:ascii="Times New Roman" w:hAnsi="Times New Roman" w:cs="Times New Roman"/>
          <w:sz w:val="24"/>
          <w:szCs w:val="24"/>
        </w:rPr>
        <w:t>all’indirizzo di posta elet</w:t>
      </w:r>
      <w:r w:rsidR="0031637D" w:rsidRPr="00676D0E">
        <w:rPr>
          <w:rFonts w:ascii="Times New Roman" w:hAnsi="Times New Roman" w:cs="Times New Roman"/>
          <w:sz w:val="24"/>
          <w:szCs w:val="24"/>
        </w:rPr>
        <w:t xml:space="preserve">tronica di cui all’articolo 12, </w:t>
      </w:r>
      <w:r w:rsidR="00DB026E">
        <w:rPr>
          <w:rFonts w:ascii="Times New Roman" w:hAnsi="Times New Roman" w:cs="Times New Roman"/>
          <w:sz w:val="24"/>
          <w:szCs w:val="24"/>
        </w:rPr>
        <w:t>1° co.</w:t>
      </w:r>
      <w:r w:rsidRPr="00676D0E">
        <w:rPr>
          <w:rFonts w:ascii="Times New Roman" w:hAnsi="Times New Roman" w:cs="Times New Roman"/>
          <w:sz w:val="24"/>
          <w:szCs w:val="24"/>
        </w:rPr>
        <w:t xml:space="preserve">, lettera </w:t>
      </w:r>
      <w:r w:rsidRPr="00676D0E">
        <w:rPr>
          <w:rFonts w:ascii="Times New Roman" w:hAnsi="Times New Roman" w:cs="Times New Roman"/>
          <w:i/>
          <w:iCs/>
          <w:sz w:val="24"/>
          <w:szCs w:val="24"/>
        </w:rPr>
        <w:t xml:space="preserve">n) </w:t>
      </w:r>
      <w:r w:rsidRPr="00676D0E">
        <w:rPr>
          <w:rFonts w:ascii="Times New Roman" w:hAnsi="Times New Roman" w:cs="Times New Roman"/>
          <w:sz w:val="24"/>
          <w:szCs w:val="24"/>
        </w:rPr>
        <w:t>e con SMS. Al termine del lasso temporale fissato per</w:t>
      </w:r>
      <w:r w:rsidR="0031637D" w:rsidRPr="00676D0E">
        <w:rPr>
          <w:rFonts w:ascii="Times New Roman" w:hAnsi="Times New Roman" w:cs="Times New Roman"/>
          <w:sz w:val="24"/>
          <w:szCs w:val="24"/>
        </w:rPr>
        <w:t xml:space="preserve"> </w:t>
      </w:r>
      <w:r w:rsidRPr="00676D0E">
        <w:rPr>
          <w:rFonts w:ascii="Times New Roman" w:hAnsi="Times New Roman" w:cs="Times New Roman"/>
          <w:sz w:val="24"/>
          <w:szCs w:val="24"/>
        </w:rPr>
        <w:t>la gara, il gestore della vendita telematic</w:t>
      </w:r>
      <w:r w:rsidR="0031637D" w:rsidRPr="00676D0E">
        <w:rPr>
          <w:rFonts w:ascii="Times New Roman" w:hAnsi="Times New Roman" w:cs="Times New Roman"/>
          <w:sz w:val="24"/>
          <w:szCs w:val="24"/>
        </w:rPr>
        <w:t xml:space="preserve">a </w:t>
      </w:r>
      <w:r w:rsidRPr="00676D0E">
        <w:rPr>
          <w:rFonts w:ascii="Times New Roman" w:hAnsi="Times New Roman" w:cs="Times New Roman"/>
          <w:sz w:val="24"/>
          <w:szCs w:val="24"/>
        </w:rPr>
        <w:t>comunica</w:t>
      </w:r>
      <w:r w:rsidR="0031637D" w:rsidRPr="00676D0E">
        <w:rPr>
          <w:rFonts w:ascii="Times New Roman" w:hAnsi="Times New Roman" w:cs="Times New Roman"/>
          <w:sz w:val="24"/>
          <w:szCs w:val="24"/>
        </w:rPr>
        <w:t xml:space="preserve">, a tutti i </w:t>
      </w:r>
      <w:r w:rsidRPr="00676D0E">
        <w:rPr>
          <w:rFonts w:ascii="Times New Roman" w:hAnsi="Times New Roman" w:cs="Times New Roman"/>
          <w:sz w:val="24"/>
          <w:szCs w:val="24"/>
        </w:rPr>
        <w:t>partecipanti la maggiore offerta formulata.</w:t>
      </w:r>
      <w:r w:rsidR="0031637D" w:rsidRPr="00676D0E">
        <w:rPr>
          <w:rFonts w:ascii="Times New Roman" w:hAnsi="Times New Roman" w:cs="Times New Roman"/>
          <w:sz w:val="24"/>
          <w:szCs w:val="24"/>
        </w:rPr>
        <w:t xml:space="preserve"> </w:t>
      </w:r>
    </w:p>
    <w:p w:rsidR="00C148DB" w:rsidRDefault="00C148DB" w:rsidP="00403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Alle operazioni di vendita prendono parte, accedendo al portale, giudice, referente e cancelliere se senza incanto; vi può assistere poi chiunque nel caso di incanto (art.20).</w:t>
      </w:r>
    </w:p>
    <w:p w:rsidR="00F25040" w:rsidRDefault="00F25040" w:rsidP="00403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Esaurite le operazioni di vendita, e nel termine di cinque giorni, il gestore della vendita telematica provvederà a trasmettere al Portale i dati dei beni venduti</w:t>
      </w:r>
      <w:r w:rsidR="00DB026E">
        <w:rPr>
          <w:rFonts w:ascii="Times New Roman" w:hAnsi="Times New Roman" w:cs="Times New Roman"/>
          <w:sz w:val="24"/>
          <w:szCs w:val="24"/>
        </w:rPr>
        <w:t>.</w:t>
      </w:r>
    </w:p>
    <w:p w:rsidR="00B63DB7" w:rsidRPr="00676D0E" w:rsidRDefault="00B63DB7" w:rsidP="004033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Una normativa specifica viene poi dettata in tema di vendite mobiliari, per la quale si rimanda al testo del decreto (art. 25 dello stesso).</w:t>
      </w:r>
    </w:p>
    <w:p w:rsidR="00DB026E" w:rsidRDefault="00B217E9" w:rsidP="00403302">
      <w:pPr>
        <w:spacing w:line="240" w:lineRule="auto"/>
        <w:jc w:val="both"/>
        <w:rPr>
          <w:rFonts w:ascii="Times New Roman" w:hAnsi="Times New Roman" w:cs="Times New Roman"/>
          <w:sz w:val="24"/>
          <w:szCs w:val="24"/>
        </w:rPr>
      </w:pPr>
      <w:r w:rsidRPr="0031637D">
        <w:rPr>
          <w:rFonts w:ascii="Times New Roman" w:hAnsi="Times New Roman" w:cs="Times New Roman"/>
          <w:sz w:val="24"/>
          <w:szCs w:val="24"/>
        </w:rPr>
        <w:t>Questioni non indifferenti si porranno poi in caso di malfunzionamento.</w:t>
      </w:r>
    </w:p>
    <w:p w:rsidR="00B217E9" w:rsidRPr="00676D0E" w:rsidRDefault="00B217E9" w:rsidP="00403302">
      <w:pPr>
        <w:spacing w:line="240" w:lineRule="auto"/>
        <w:jc w:val="both"/>
        <w:rPr>
          <w:rFonts w:ascii="Times New Roman" w:hAnsi="Times New Roman" w:cs="Times New Roman"/>
          <w:sz w:val="24"/>
          <w:szCs w:val="24"/>
        </w:rPr>
      </w:pPr>
      <w:r w:rsidRPr="0031637D">
        <w:rPr>
          <w:rFonts w:ascii="Times New Roman" w:hAnsi="Times New Roman" w:cs="Times New Roman"/>
          <w:sz w:val="24"/>
          <w:szCs w:val="24"/>
        </w:rPr>
        <w:t>Per quanto si riferisce a quello del dominio giustizia che interessi quindi il deposito dell’offerta, l’eventualità risulta disciplinata dall’art.15 del decreto, in cui si stabilisce che ove si verifichi un’interruzione programmata il</w:t>
      </w:r>
      <w:r w:rsidRPr="0031637D">
        <w:rPr>
          <w:rFonts w:ascii="Times New Roman" w:hAnsi="Times New Roman" w:cs="Times New Roman"/>
          <w:color w:val="231F20"/>
          <w:sz w:val="24"/>
          <w:szCs w:val="24"/>
        </w:rPr>
        <w:t xml:space="preserve"> </w:t>
      </w:r>
      <w:r w:rsidRPr="00676D0E">
        <w:rPr>
          <w:rFonts w:ascii="Times New Roman" w:hAnsi="Times New Roman" w:cs="Times New Roman"/>
          <w:sz w:val="24"/>
          <w:szCs w:val="24"/>
        </w:rPr>
        <w:t>responsabile per i sistemi informativi automatizzati</w:t>
      </w:r>
      <w:r w:rsidR="0031637D" w:rsidRPr="00676D0E">
        <w:rPr>
          <w:rFonts w:ascii="Times New Roman" w:hAnsi="Times New Roman" w:cs="Times New Roman"/>
          <w:sz w:val="24"/>
          <w:szCs w:val="24"/>
        </w:rPr>
        <w:t xml:space="preserve"> </w:t>
      </w:r>
      <w:r w:rsidRPr="00676D0E">
        <w:rPr>
          <w:rFonts w:ascii="Times New Roman" w:hAnsi="Times New Roman" w:cs="Times New Roman"/>
          <w:sz w:val="24"/>
          <w:szCs w:val="24"/>
        </w:rPr>
        <w:t>del ministero comu</w:t>
      </w:r>
      <w:r w:rsidR="0031637D" w:rsidRPr="00676D0E">
        <w:rPr>
          <w:rFonts w:ascii="Times New Roman" w:hAnsi="Times New Roman" w:cs="Times New Roman"/>
          <w:sz w:val="24"/>
          <w:szCs w:val="24"/>
        </w:rPr>
        <w:t xml:space="preserve">nica preventivamente ai gestori </w:t>
      </w:r>
      <w:r w:rsidRPr="00676D0E">
        <w:rPr>
          <w:rFonts w:ascii="Times New Roman" w:hAnsi="Times New Roman" w:cs="Times New Roman"/>
          <w:sz w:val="24"/>
          <w:szCs w:val="24"/>
        </w:rPr>
        <w:t>della vendita telematica tale evenienza. I gestori a loro volta ne danno notizia agli interessati mediante avviso pubblicato sui propr</w:t>
      </w:r>
      <w:r w:rsidR="0031637D" w:rsidRPr="00676D0E">
        <w:rPr>
          <w:rFonts w:ascii="Times New Roman" w:hAnsi="Times New Roman" w:cs="Times New Roman"/>
          <w:sz w:val="24"/>
          <w:szCs w:val="24"/>
        </w:rPr>
        <w:t xml:space="preserve">i siti internet e richiedono di </w:t>
      </w:r>
      <w:r w:rsidRPr="00676D0E">
        <w:rPr>
          <w:rFonts w:ascii="Times New Roman" w:hAnsi="Times New Roman" w:cs="Times New Roman"/>
          <w:sz w:val="24"/>
          <w:szCs w:val="24"/>
        </w:rPr>
        <w:t xml:space="preserve">pubblicare un analogo avviso ai </w:t>
      </w:r>
      <w:r w:rsidR="0031637D" w:rsidRPr="00676D0E">
        <w:rPr>
          <w:rFonts w:ascii="Times New Roman" w:hAnsi="Times New Roman" w:cs="Times New Roman"/>
          <w:sz w:val="24"/>
          <w:szCs w:val="24"/>
        </w:rPr>
        <w:t xml:space="preserve">soggetti che gestiscono i </w:t>
      </w:r>
      <w:r w:rsidRPr="00676D0E">
        <w:rPr>
          <w:rFonts w:ascii="Times New Roman" w:hAnsi="Times New Roman" w:cs="Times New Roman"/>
          <w:sz w:val="24"/>
          <w:szCs w:val="24"/>
        </w:rPr>
        <w:t>siti internet ove è eseguita la</w:t>
      </w:r>
      <w:r w:rsidR="0031637D" w:rsidRPr="00676D0E">
        <w:rPr>
          <w:rFonts w:ascii="Times New Roman" w:hAnsi="Times New Roman" w:cs="Times New Roman"/>
          <w:sz w:val="24"/>
          <w:szCs w:val="24"/>
        </w:rPr>
        <w:t xml:space="preserve"> pubblicità di cui all’articolo </w:t>
      </w:r>
      <w:r w:rsidRPr="00676D0E">
        <w:rPr>
          <w:rFonts w:ascii="Times New Roman" w:hAnsi="Times New Roman" w:cs="Times New Roman"/>
          <w:sz w:val="24"/>
          <w:szCs w:val="24"/>
        </w:rPr>
        <w:t xml:space="preserve">490 del </w:t>
      </w:r>
      <w:proofErr w:type="spellStart"/>
      <w:r w:rsidRPr="00676D0E">
        <w:rPr>
          <w:rFonts w:ascii="Times New Roman" w:hAnsi="Times New Roman" w:cs="Times New Roman"/>
          <w:sz w:val="24"/>
          <w:szCs w:val="24"/>
        </w:rPr>
        <w:t>c</w:t>
      </w:r>
      <w:r w:rsidR="0031637D" w:rsidRPr="00676D0E">
        <w:rPr>
          <w:rFonts w:ascii="Times New Roman" w:hAnsi="Times New Roman" w:cs="Times New Roman"/>
          <w:sz w:val="24"/>
          <w:szCs w:val="24"/>
        </w:rPr>
        <w:t>pc</w:t>
      </w:r>
      <w:proofErr w:type="spellEnd"/>
      <w:r w:rsidRPr="00676D0E">
        <w:rPr>
          <w:rFonts w:ascii="Times New Roman" w:hAnsi="Times New Roman" w:cs="Times New Roman"/>
          <w:sz w:val="24"/>
          <w:szCs w:val="24"/>
        </w:rPr>
        <w:t>. Per tali casi poi le offerte potranno essere formulate</w:t>
      </w:r>
      <w:r w:rsidR="0031637D" w:rsidRPr="00676D0E">
        <w:rPr>
          <w:rFonts w:ascii="Times New Roman" w:hAnsi="Times New Roman" w:cs="Times New Roman"/>
          <w:sz w:val="24"/>
          <w:szCs w:val="24"/>
        </w:rPr>
        <w:t xml:space="preserve"> a mezzo telefax </w:t>
      </w:r>
      <w:r w:rsidRPr="00676D0E">
        <w:rPr>
          <w:rFonts w:ascii="Times New Roman" w:hAnsi="Times New Roman" w:cs="Times New Roman"/>
          <w:sz w:val="24"/>
          <w:szCs w:val="24"/>
        </w:rPr>
        <w:t>al recapito dell’ufficio giudiziario presso il quale è</w:t>
      </w:r>
      <w:r w:rsidR="0031637D" w:rsidRPr="00676D0E">
        <w:rPr>
          <w:rFonts w:ascii="Times New Roman" w:hAnsi="Times New Roman" w:cs="Times New Roman"/>
          <w:sz w:val="24"/>
          <w:szCs w:val="24"/>
        </w:rPr>
        <w:t xml:space="preserve"> iscritta </w:t>
      </w:r>
      <w:r w:rsidRPr="00676D0E">
        <w:rPr>
          <w:rFonts w:ascii="Times New Roman" w:hAnsi="Times New Roman" w:cs="Times New Roman"/>
          <w:sz w:val="24"/>
          <w:szCs w:val="24"/>
        </w:rPr>
        <w:t>la procedura, indicato negli avvisi di cui al periodo precedente.</w:t>
      </w:r>
    </w:p>
    <w:p w:rsidR="00B217E9" w:rsidRPr="00676D0E" w:rsidRDefault="00B217E9" w:rsidP="00403302">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Non prima del g</w:t>
      </w:r>
      <w:r w:rsidR="0031637D" w:rsidRPr="00676D0E">
        <w:rPr>
          <w:rFonts w:ascii="Times New Roman" w:hAnsi="Times New Roman" w:cs="Times New Roman"/>
          <w:sz w:val="24"/>
          <w:szCs w:val="24"/>
        </w:rPr>
        <w:t xml:space="preserve">iorno precedente l’inizio delle </w:t>
      </w:r>
      <w:r w:rsidRPr="00676D0E">
        <w:rPr>
          <w:rFonts w:ascii="Times New Roman" w:hAnsi="Times New Roman" w:cs="Times New Roman"/>
          <w:sz w:val="24"/>
          <w:szCs w:val="24"/>
        </w:rPr>
        <w:t>operazioni di vendita il gestor</w:t>
      </w:r>
      <w:r w:rsidR="0031637D" w:rsidRPr="00676D0E">
        <w:rPr>
          <w:rFonts w:ascii="Times New Roman" w:hAnsi="Times New Roman" w:cs="Times New Roman"/>
          <w:sz w:val="24"/>
          <w:szCs w:val="24"/>
        </w:rPr>
        <w:t xml:space="preserve">e ritira le offerte formulate </w:t>
      </w:r>
      <w:r w:rsidR="00DB026E">
        <w:rPr>
          <w:rFonts w:ascii="Times New Roman" w:hAnsi="Times New Roman" w:cs="Times New Roman"/>
          <w:sz w:val="24"/>
          <w:szCs w:val="24"/>
        </w:rPr>
        <w:t>al recapito suddetto</w:t>
      </w:r>
      <w:r w:rsidRPr="00676D0E">
        <w:rPr>
          <w:rFonts w:ascii="Times New Roman" w:hAnsi="Times New Roman" w:cs="Times New Roman"/>
          <w:sz w:val="24"/>
          <w:szCs w:val="24"/>
        </w:rPr>
        <w:t>.</w:t>
      </w:r>
    </w:p>
    <w:p w:rsidR="006E24F6" w:rsidRPr="0031637D" w:rsidRDefault="00E27A4B" w:rsidP="00403302">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sz w:val="24"/>
          <w:szCs w:val="24"/>
        </w:rPr>
        <w:t>O</w:t>
      </w:r>
      <w:r w:rsidR="00B217E9" w:rsidRPr="00676D0E">
        <w:rPr>
          <w:rFonts w:ascii="Times New Roman" w:hAnsi="Times New Roman" w:cs="Times New Roman"/>
          <w:sz w:val="24"/>
          <w:szCs w:val="24"/>
        </w:rPr>
        <w:t>ve invece si verifichi un  mancato funzionamento non programmato</w:t>
      </w:r>
      <w:r w:rsidR="0031637D" w:rsidRPr="00676D0E">
        <w:rPr>
          <w:rFonts w:ascii="Times New Roman" w:hAnsi="Times New Roman" w:cs="Times New Roman"/>
          <w:sz w:val="24"/>
          <w:szCs w:val="24"/>
        </w:rPr>
        <w:t xml:space="preserve"> </w:t>
      </w:r>
      <w:r w:rsidR="00B217E9" w:rsidRPr="00676D0E">
        <w:rPr>
          <w:rFonts w:ascii="Times New Roman" w:hAnsi="Times New Roman" w:cs="Times New Roman"/>
          <w:sz w:val="24"/>
          <w:szCs w:val="24"/>
        </w:rPr>
        <w:t>o non comunicato come sopra</w:t>
      </w:r>
      <w:r w:rsidR="0031637D" w:rsidRPr="00676D0E">
        <w:rPr>
          <w:rFonts w:ascii="Times New Roman" w:hAnsi="Times New Roman" w:cs="Times New Roman"/>
          <w:sz w:val="24"/>
          <w:szCs w:val="24"/>
        </w:rPr>
        <w:t xml:space="preserve">, l’offerta si intende </w:t>
      </w:r>
      <w:r w:rsidR="00B217E9" w:rsidRPr="00676D0E">
        <w:rPr>
          <w:rFonts w:ascii="Times New Roman" w:hAnsi="Times New Roman" w:cs="Times New Roman"/>
          <w:sz w:val="24"/>
          <w:szCs w:val="24"/>
        </w:rPr>
        <w:t>depositata nel momento in cui v</w:t>
      </w:r>
      <w:r w:rsidR="0031637D" w:rsidRPr="00676D0E">
        <w:rPr>
          <w:rFonts w:ascii="Times New Roman" w:hAnsi="Times New Roman" w:cs="Times New Roman"/>
          <w:sz w:val="24"/>
          <w:szCs w:val="24"/>
        </w:rPr>
        <w:t xml:space="preserve">iene generata la ricevuta </w:t>
      </w:r>
      <w:r w:rsidR="00B217E9" w:rsidRPr="00676D0E">
        <w:rPr>
          <w:rFonts w:ascii="Times New Roman" w:hAnsi="Times New Roman" w:cs="Times New Roman"/>
          <w:sz w:val="24"/>
          <w:szCs w:val="24"/>
        </w:rPr>
        <w:t>di accettazione da parte d</w:t>
      </w:r>
      <w:r w:rsidR="0031637D" w:rsidRPr="00676D0E">
        <w:rPr>
          <w:rFonts w:ascii="Times New Roman" w:hAnsi="Times New Roman" w:cs="Times New Roman"/>
          <w:sz w:val="24"/>
          <w:szCs w:val="24"/>
        </w:rPr>
        <w:t xml:space="preserve">el gestore di posta elettronica </w:t>
      </w:r>
      <w:r w:rsidR="00B217E9" w:rsidRPr="00676D0E">
        <w:rPr>
          <w:rFonts w:ascii="Times New Roman" w:hAnsi="Times New Roman" w:cs="Times New Roman"/>
          <w:sz w:val="24"/>
          <w:szCs w:val="24"/>
        </w:rPr>
        <w:t>certificata del mittente</w:t>
      </w:r>
      <w:r w:rsidR="00D9168E">
        <w:rPr>
          <w:rFonts w:ascii="Times New Roman" w:hAnsi="Times New Roman" w:cs="Times New Roman"/>
          <w:sz w:val="24"/>
          <w:szCs w:val="24"/>
        </w:rPr>
        <w:t xml:space="preserve">, quindi senza </w:t>
      </w:r>
      <w:r w:rsidR="00C148DB">
        <w:rPr>
          <w:rFonts w:ascii="Times New Roman" w:hAnsi="Times New Roman" w:cs="Times New Roman"/>
          <w:sz w:val="24"/>
          <w:szCs w:val="24"/>
        </w:rPr>
        <w:t xml:space="preserve">ricevuta di consegna della </w:t>
      </w:r>
      <w:proofErr w:type="spellStart"/>
      <w:r w:rsidR="00C148DB">
        <w:rPr>
          <w:rFonts w:ascii="Times New Roman" w:hAnsi="Times New Roman" w:cs="Times New Roman"/>
          <w:sz w:val="24"/>
          <w:szCs w:val="24"/>
        </w:rPr>
        <w:t>pec</w:t>
      </w:r>
      <w:proofErr w:type="spellEnd"/>
      <w:r w:rsidR="00D9168E">
        <w:rPr>
          <w:rFonts w:ascii="Times New Roman" w:hAnsi="Times New Roman" w:cs="Times New Roman"/>
          <w:sz w:val="24"/>
          <w:szCs w:val="24"/>
        </w:rPr>
        <w:t xml:space="preserve"> ministeriale</w:t>
      </w:r>
      <w:r w:rsidR="00B217E9" w:rsidRPr="00676D0E">
        <w:rPr>
          <w:rFonts w:ascii="Times New Roman" w:hAnsi="Times New Roman" w:cs="Times New Roman"/>
          <w:sz w:val="24"/>
          <w:szCs w:val="24"/>
        </w:rPr>
        <w:t>. Il gestore è tenuto a permettere la partecipazione alle operazioni di vendita dell’offerente che documenta la tempestiva presentazione dell’offerta così formulata</w:t>
      </w:r>
      <w:r w:rsidR="0031637D">
        <w:rPr>
          <w:rFonts w:ascii="Times New Roman" w:hAnsi="Times New Roman" w:cs="Times New Roman"/>
          <w:color w:val="231F20"/>
          <w:sz w:val="24"/>
          <w:szCs w:val="24"/>
        </w:rPr>
        <w:t>.</w:t>
      </w:r>
    </w:p>
    <w:p w:rsidR="00B217E9" w:rsidRPr="0031637D" w:rsidRDefault="00B217E9" w:rsidP="00403302">
      <w:pPr>
        <w:spacing w:line="240" w:lineRule="auto"/>
        <w:jc w:val="both"/>
        <w:rPr>
          <w:rFonts w:ascii="Times New Roman" w:hAnsi="Times New Roman" w:cs="Times New Roman"/>
          <w:sz w:val="24"/>
          <w:szCs w:val="24"/>
        </w:rPr>
      </w:pPr>
      <w:r w:rsidRPr="0031637D">
        <w:rPr>
          <w:rFonts w:ascii="Times New Roman" w:hAnsi="Times New Roman" w:cs="Times New Roman"/>
          <w:sz w:val="24"/>
          <w:szCs w:val="24"/>
        </w:rPr>
        <w:t>Problemi che ovviamente in caso di modalità mista potranno tutti essere agevolmente superati dal deposito dell’offerta analogica.</w:t>
      </w:r>
    </w:p>
    <w:p w:rsidR="0031637D" w:rsidRPr="0031637D" w:rsidRDefault="0031637D" w:rsidP="00403302">
      <w:pPr>
        <w:spacing w:line="240" w:lineRule="auto"/>
        <w:jc w:val="both"/>
        <w:rPr>
          <w:rFonts w:ascii="Times New Roman" w:hAnsi="Times New Roman" w:cs="Times New Roman"/>
          <w:sz w:val="24"/>
          <w:szCs w:val="24"/>
        </w:rPr>
      </w:pPr>
      <w:r w:rsidRPr="0031637D">
        <w:rPr>
          <w:rFonts w:ascii="Times New Roman" w:hAnsi="Times New Roman" w:cs="Times New Roman"/>
          <w:sz w:val="24"/>
          <w:szCs w:val="24"/>
        </w:rPr>
        <w:t>Quanto ai problemi di linea che ben possono verificarsi al momento di celebrazione dell’asta, intanto costituisce una minimale misura di prudenza quella di dotarsi di una seconda linea di “emergenza” che possa intervenire in caso di malfunzionamento di quella principale. In ogni caso, nell’ipotesi in cui proprio non si possa assicurare una corretta connessione, non resterà che annullare la gara e provvedere in altra data da comunicarsi tempestivamente fra gli offerenti  originari, senza riapertura dei termini. Chiaramente anche qui non si porrà alcun problema ove tutti gli offerenti avranno effettuato offerte di natura analogica.</w:t>
      </w:r>
    </w:p>
    <w:p w:rsidR="00B217E9" w:rsidRDefault="00B217E9" w:rsidP="00403302">
      <w:pPr>
        <w:spacing w:line="240" w:lineRule="auto"/>
        <w:jc w:val="both"/>
        <w:rPr>
          <w:rFonts w:ascii="Times New Roman" w:hAnsi="Times New Roman" w:cs="Times New Roman"/>
          <w:b/>
          <w:sz w:val="24"/>
          <w:szCs w:val="24"/>
        </w:rPr>
      </w:pPr>
    </w:p>
    <w:p w:rsidR="00403302" w:rsidRDefault="00BB6A5E" w:rsidP="00403302">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2F202E" w:rsidRPr="002F202E">
        <w:rPr>
          <w:rFonts w:ascii="Times New Roman" w:hAnsi="Times New Roman" w:cs="Times New Roman"/>
          <w:b/>
          <w:sz w:val="24"/>
          <w:szCs w:val="24"/>
        </w:rPr>
        <w:t>.</w:t>
      </w:r>
      <w:r w:rsidR="00703635" w:rsidRPr="002F202E">
        <w:rPr>
          <w:rFonts w:ascii="Times New Roman" w:hAnsi="Times New Roman" w:cs="Times New Roman"/>
          <w:b/>
          <w:sz w:val="24"/>
          <w:szCs w:val="24"/>
        </w:rPr>
        <w:t>PUBBLICITA</w:t>
      </w:r>
      <w:r w:rsidR="002F202E" w:rsidRPr="002F202E">
        <w:rPr>
          <w:rFonts w:ascii="Times New Roman" w:hAnsi="Times New Roman" w:cs="Times New Roman"/>
          <w:b/>
          <w:sz w:val="24"/>
          <w:szCs w:val="24"/>
        </w:rPr>
        <w:t>’</w:t>
      </w:r>
      <w:r w:rsidR="00403302">
        <w:rPr>
          <w:rFonts w:ascii="Times New Roman" w:hAnsi="Times New Roman" w:cs="Times New Roman"/>
          <w:b/>
          <w:sz w:val="24"/>
          <w:szCs w:val="24"/>
        </w:rPr>
        <w:t xml:space="preserve"> E</w:t>
      </w:r>
      <w:r w:rsidR="004070D2">
        <w:rPr>
          <w:rFonts w:ascii="Times New Roman" w:hAnsi="Times New Roman" w:cs="Times New Roman"/>
          <w:b/>
          <w:sz w:val="24"/>
          <w:szCs w:val="24"/>
        </w:rPr>
        <w:t xml:space="preserve"> PORTALE PUBBLICO </w:t>
      </w:r>
    </w:p>
    <w:p w:rsidR="00DA112E" w:rsidRPr="00DA725A" w:rsidRDefault="00DA112E"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Il sistema della vendita telematica, come s’è detto sopra, è imperniato sulla funzionalità del portale delle vendite pubbliche. Tale strumento,</w:t>
      </w:r>
      <w:r w:rsidR="00DB026E">
        <w:rPr>
          <w:rFonts w:ascii="Times New Roman" w:hAnsi="Times New Roman" w:cs="Times New Roman"/>
          <w:sz w:val="24"/>
          <w:szCs w:val="24"/>
        </w:rPr>
        <w:t xml:space="preserve"> </w:t>
      </w:r>
      <w:r w:rsidRPr="00DA725A">
        <w:rPr>
          <w:rFonts w:ascii="Times New Roman" w:hAnsi="Times New Roman" w:cs="Times New Roman"/>
          <w:sz w:val="24"/>
          <w:szCs w:val="24"/>
        </w:rPr>
        <w:t>a regime</w:t>
      </w:r>
      <w:r w:rsidR="00DB026E">
        <w:rPr>
          <w:rFonts w:ascii="Times New Roman" w:hAnsi="Times New Roman" w:cs="Times New Roman"/>
          <w:sz w:val="24"/>
          <w:szCs w:val="24"/>
        </w:rPr>
        <w:t xml:space="preserve"> da utilizzarsi per ogni sorta di vendita</w:t>
      </w:r>
      <w:r w:rsidRPr="00DA725A">
        <w:rPr>
          <w:rFonts w:ascii="Times New Roman" w:hAnsi="Times New Roman" w:cs="Times New Roman"/>
          <w:sz w:val="24"/>
          <w:szCs w:val="24"/>
        </w:rPr>
        <w:t>, ha l’ambizione di superare la parzialità dei dati che si possono reperire sugli strumenti fin qui a disposizione dell’interessato all’asta pubblica.</w:t>
      </w:r>
    </w:p>
    <w:p w:rsidR="00E27A4B" w:rsidRDefault="00DA112E"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Infatti i siti dei tribunali hanno l’ovvio difetto di riportare solo i beni venduti da quello specifico ufficio (che non necessariamente vende tutti i beni posti all’asta in quella data zona, anzi verificandosi spesso che un tribunale vende anche beni siti in altri circondari o addirittura altri distretti). A </w:t>
      </w:r>
      <w:r w:rsidR="00CB0A6F">
        <w:rPr>
          <w:rFonts w:ascii="Times New Roman" w:hAnsi="Times New Roman" w:cs="Times New Roman"/>
          <w:sz w:val="24"/>
          <w:szCs w:val="24"/>
        </w:rPr>
        <w:t>loro</w:t>
      </w:r>
      <w:r w:rsidRPr="00DA725A">
        <w:rPr>
          <w:rFonts w:ascii="Times New Roman" w:hAnsi="Times New Roman" w:cs="Times New Roman"/>
          <w:sz w:val="24"/>
          <w:szCs w:val="24"/>
        </w:rPr>
        <w:t xml:space="preserve"> volta i portali di gestori pubblicitari privati sono certo di più ampio respiro, ma </w:t>
      </w:r>
      <w:r w:rsidR="00AA6CF8" w:rsidRPr="00DA725A">
        <w:rPr>
          <w:rFonts w:ascii="Times New Roman" w:hAnsi="Times New Roman" w:cs="Times New Roman"/>
          <w:sz w:val="24"/>
          <w:szCs w:val="24"/>
        </w:rPr>
        <w:t>nessuno di essi ha convenzioni stipulate con tutti i tribunali, e quindi anch’essi alla fine riportano dati parziali.</w:t>
      </w:r>
      <w:r w:rsidR="00CA1A34">
        <w:rPr>
          <w:rFonts w:ascii="Times New Roman" w:hAnsi="Times New Roman" w:cs="Times New Roman"/>
          <w:sz w:val="24"/>
          <w:szCs w:val="24"/>
        </w:rPr>
        <w:t xml:space="preserve"> </w:t>
      </w:r>
    </w:p>
    <w:p w:rsidR="00522ECE" w:rsidRPr="00DA725A" w:rsidRDefault="00522ECE"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Il portale delle vendite pubbliche, in cui obbligatoriamente andranno in</w:t>
      </w:r>
      <w:r>
        <w:rPr>
          <w:rFonts w:ascii="Times New Roman" w:hAnsi="Times New Roman" w:cs="Times New Roman"/>
          <w:sz w:val="24"/>
          <w:szCs w:val="24"/>
        </w:rPr>
        <w:t>s</w:t>
      </w:r>
      <w:r w:rsidRPr="00DA725A">
        <w:rPr>
          <w:rFonts w:ascii="Times New Roman" w:hAnsi="Times New Roman" w:cs="Times New Roman"/>
          <w:sz w:val="24"/>
          <w:szCs w:val="24"/>
        </w:rPr>
        <w:t>eriti</w:t>
      </w:r>
      <w:r w:rsidR="00717926">
        <w:rPr>
          <w:rFonts w:ascii="Times New Roman" w:hAnsi="Times New Roman" w:cs="Times New Roman"/>
          <w:sz w:val="24"/>
          <w:szCs w:val="24"/>
        </w:rPr>
        <w:t xml:space="preserve"> gli avvisi delle vendite</w:t>
      </w:r>
      <w:r w:rsidRPr="00DA725A">
        <w:rPr>
          <w:rFonts w:ascii="Times New Roman" w:hAnsi="Times New Roman" w:cs="Times New Roman"/>
          <w:sz w:val="24"/>
          <w:szCs w:val="24"/>
        </w:rPr>
        <w:t xml:space="preserve"> relativi a tutte le vendite pubbliche,</w:t>
      </w:r>
      <w:r>
        <w:rPr>
          <w:rFonts w:ascii="Times New Roman" w:hAnsi="Times New Roman" w:cs="Times New Roman"/>
          <w:sz w:val="24"/>
          <w:szCs w:val="24"/>
        </w:rPr>
        <w:t xml:space="preserve"> incluse quelle che venissero effettuate esclusivamente con modalità analogiche e quelle in materia di procedure concorsuali</w:t>
      </w:r>
      <w:r w:rsidR="008028DE">
        <w:rPr>
          <w:rFonts w:ascii="Times New Roman" w:hAnsi="Times New Roman" w:cs="Times New Roman"/>
          <w:sz w:val="24"/>
          <w:szCs w:val="24"/>
        </w:rPr>
        <w:t xml:space="preserve"> (per la materia concorsuale v. art.182, 1° co., </w:t>
      </w:r>
      <w:proofErr w:type="spellStart"/>
      <w:r w:rsidR="008028DE">
        <w:rPr>
          <w:rFonts w:ascii="Times New Roman" w:hAnsi="Times New Roman" w:cs="Times New Roman"/>
          <w:sz w:val="24"/>
          <w:szCs w:val="24"/>
        </w:rPr>
        <w:t>l.f.</w:t>
      </w:r>
      <w:proofErr w:type="spellEnd"/>
      <w:r w:rsidR="008028DE">
        <w:rPr>
          <w:rFonts w:ascii="Times New Roman" w:hAnsi="Times New Roman" w:cs="Times New Roman"/>
          <w:sz w:val="24"/>
          <w:szCs w:val="24"/>
        </w:rPr>
        <w:t xml:space="preserve">; per il resto v. art.107 </w:t>
      </w:r>
      <w:proofErr w:type="spellStart"/>
      <w:r w:rsidR="008028DE">
        <w:rPr>
          <w:rFonts w:ascii="Times New Roman" w:hAnsi="Times New Roman" w:cs="Times New Roman"/>
          <w:sz w:val="24"/>
          <w:szCs w:val="24"/>
        </w:rPr>
        <w:t>l.f.</w:t>
      </w:r>
      <w:proofErr w:type="spellEnd"/>
      <w:r w:rsidR="008028DE">
        <w:rPr>
          <w:rFonts w:ascii="Times New Roman" w:hAnsi="Times New Roman" w:cs="Times New Roman"/>
          <w:sz w:val="24"/>
          <w:szCs w:val="24"/>
        </w:rPr>
        <w:t>)</w:t>
      </w:r>
      <w:r>
        <w:rPr>
          <w:rFonts w:ascii="Times New Roman" w:hAnsi="Times New Roman" w:cs="Times New Roman"/>
          <w:sz w:val="24"/>
          <w:szCs w:val="24"/>
        </w:rPr>
        <w:t xml:space="preserve">, per le ragioni dette al § 2, </w:t>
      </w:r>
      <w:r w:rsidRPr="00DA725A">
        <w:rPr>
          <w:rFonts w:ascii="Times New Roman" w:hAnsi="Times New Roman" w:cs="Times New Roman"/>
          <w:sz w:val="24"/>
          <w:szCs w:val="24"/>
        </w:rPr>
        <w:t xml:space="preserve"> supererà questi limiti. Certo l’inserimento dei dati</w:t>
      </w:r>
      <w:r w:rsidR="00C148DB">
        <w:rPr>
          <w:rFonts w:ascii="Times New Roman" w:hAnsi="Times New Roman" w:cs="Times New Roman"/>
          <w:sz w:val="24"/>
          <w:szCs w:val="24"/>
        </w:rPr>
        <w:t xml:space="preserve"> a cura del soggetto legittimato (cancelliere o referente)</w:t>
      </w:r>
      <w:r w:rsidR="004070D2">
        <w:rPr>
          <w:rFonts w:ascii="Times New Roman" w:hAnsi="Times New Roman" w:cs="Times New Roman"/>
          <w:sz w:val="24"/>
          <w:szCs w:val="24"/>
        </w:rPr>
        <w:t xml:space="preserve">, che è disciplinato dalle specifiche tecniche di cui s’è detto pure al § 2, </w:t>
      </w:r>
      <w:r w:rsidRPr="00DA725A">
        <w:rPr>
          <w:rFonts w:ascii="Times New Roman" w:hAnsi="Times New Roman" w:cs="Times New Roman"/>
          <w:sz w:val="24"/>
          <w:szCs w:val="24"/>
        </w:rPr>
        <w:t xml:space="preserve"> non sarà propriamente semplice</w:t>
      </w:r>
      <w:r>
        <w:rPr>
          <w:rFonts w:ascii="Times New Roman" w:hAnsi="Times New Roman" w:cs="Times New Roman"/>
          <w:sz w:val="24"/>
          <w:szCs w:val="24"/>
        </w:rPr>
        <w:t xml:space="preserve">, </w:t>
      </w:r>
      <w:r w:rsidRPr="00DA725A">
        <w:rPr>
          <w:rFonts w:ascii="Times New Roman" w:hAnsi="Times New Roman" w:cs="Times New Roman"/>
          <w:sz w:val="24"/>
          <w:szCs w:val="24"/>
        </w:rPr>
        <w:t>oltre che essere costoso, perché richiede il versame</w:t>
      </w:r>
      <w:r>
        <w:rPr>
          <w:rFonts w:ascii="Times New Roman" w:hAnsi="Times New Roman" w:cs="Times New Roman"/>
          <w:sz w:val="24"/>
          <w:szCs w:val="24"/>
        </w:rPr>
        <w:t>n</w:t>
      </w:r>
      <w:r w:rsidRPr="00DA725A">
        <w:rPr>
          <w:rFonts w:ascii="Times New Roman" w:hAnsi="Times New Roman" w:cs="Times New Roman"/>
          <w:sz w:val="24"/>
          <w:szCs w:val="24"/>
        </w:rPr>
        <w:t xml:space="preserve">to di </w:t>
      </w:r>
      <w:r w:rsidR="00CB0A6F">
        <w:rPr>
          <w:rFonts w:ascii="Times New Roman" w:hAnsi="Times New Roman" w:cs="Times New Roman"/>
          <w:sz w:val="24"/>
          <w:szCs w:val="24"/>
        </w:rPr>
        <w:t xml:space="preserve">euro </w:t>
      </w:r>
      <w:r w:rsidRPr="00DA725A">
        <w:rPr>
          <w:rFonts w:ascii="Times New Roman" w:hAnsi="Times New Roman" w:cs="Times New Roman"/>
          <w:sz w:val="24"/>
          <w:szCs w:val="24"/>
        </w:rPr>
        <w:t>100,00 per ogni lotto</w:t>
      </w:r>
      <w:r>
        <w:rPr>
          <w:rFonts w:ascii="Times New Roman" w:hAnsi="Times New Roman" w:cs="Times New Roman"/>
          <w:sz w:val="24"/>
          <w:szCs w:val="24"/>
        </w:rPr>
        <w:t>. E in proposito</w:t>
      </w:r>
      <w:r w:rsidRPr="00DA725A">
        <w:rPr>
          <w:rFonts w:ascii="Times New Roman" w:hAnsi="Times New Roman" w:cs="Times New Roman"/>
          <w:sz w:val="24"/>
          <w:szCs w:val="24"/>
        </w:rPr>
        <w:t xml:space="preserve"> si avanza l’ipotesi che tale versamento d</w:t>
      </w:r>
      <w:r w:rsidR="008055EF">
        <w:rPr>
          <w:rFonts w:ascii="Times New Roman" w:hAnsi="Times New Roman" w:cs="Times New Roman"/>
          <w:sz w:val="24"/>
          <w:szCs w:val="24"/>
        </w:rPr>
        <w:t>ebba</w:t>
      </w:r>
      <w:r w:rsidRPr="00DA725A">
        <w:rPr>
          <w:rFonts w:ascii="Times New Roman" w:hAnsi="Times New Roman" w:cs="Times New Roman"/>
          <w:sz w:val="24"/>
          <w:szCs w:val="24"/>
        </w:rPr>
        <w:t xml:space="preserve"> essere ri</w:t>
      </w:r>
      <w:r>
        <w:rPr>
          <w:rFonts w:ascii="Times New Roman" w:hAnsi="Times New Roman" w:cs="Times New Roman"/>
          <w:sz w:val="24"/>
          <w:szCs w:val="24"/>
        </w:rPr>
        <w:t>petuto</w:t>
      </w:r>
      <w:r w:rsidRPr="00DA725A">
        <w:rPr>
          <w:rFonts w:ascii="Times New Roman" w:hAnsi="Times New Roman" w:cs="Times New Roman"/>
          <w:sz w:val="24"/>
          <w:szCs w:val="24"/>
        </w:rPr>
        <w:t xml:space="preserve"> ad ogni rinnovo d’asta e </w:t>
      </w:r>
      <w:proofErr w:type="spellStart"/>
      <w:r w:rsidRPr="00DA725A">
        <w:rPr>
          <w:rFonts w:ascii="Times New Roman" w:hAnsi="Times New Roman" w:cs="Times New Roman"/>
          <w:sz w:val="24"/>
          <w:szCs w:val="24"/>
        </w:rPr>
        <w:t>fors’anche</w:t>
      </w:r>
      <w:proofErr w:type="spellEnd"/>
      <w:r w:rsidRPr="00DA725A">
        <w:rPr>
          <w:rFonts w:ascii="Times New Roman" w:hAnsi="Times New Roman" w:cs="Times New Roman"/>
          <w:sz w:val="24"/>
          <w:szCs w:val="24"/>
        </w:rPr>
        <w:t xml:space="preserve"> </w:t>
      </w:r>
      <w:r w:rsidR="008055EF">
        <w:rPr>
          <w:rFonts w:ascii="Times New Roman" w:hAnsi="Times New Roman" w:cs="Times New Roman"/>
          <w:sz w:val="24"/>
          <w:szCs w:val="24"/>
        </w:rPr>
        <w:t>ad</w:t>
      </w:r>
      <w:r w:rsidRPr="00DA725A">
        <w:rPr>
          <w:rFonts w:ascii="Times New Roman" w:hAnsi="Times New Roman" w:cs="Times New Roman"/>
          <w:sz w:val="24"/>
          <w:szCs w:val="24"/>
        </w:rPr>
        <w:t xml:space="preserve"> ogni nuovo avviso, visto che l’art. 18 </w:t>
      </w:r>
      <w:r w:rsidRPr="00676D0E">
        <w:rPr>
          <w:rFonts w:ascii="Times New Roman" w:hAnsi="Times New Roman" w:cs="Times New Roman"/>
          <w:i/>
          <w:sz w:val="24"/>
          <w:szCs w:val="24"/>
        </w:rPr>
        <w:t>bis</w:t>
      </w:r>
      <w:r w:rsidRPr="00DA725A">
        <w:rPr>
          <w:rFonts w:ascii="Times New Roman" w:hAnsi="Times New Roman" w:cs="Times New Roman"/>
          <w:sz w:val="24"/>
          <w:szCs w:val="24"/>
        </w:rPr>
        <w:t xml:space="preserve"> del </w:t>
      </w:r>
      <w:proofErr w:type="spellStart"/>
      <w:r w:rsidRPr="00DA725A">
        <w:rPr>
          <w:rFonts w:ascii="Times New Roman" w:hAnsi="Times New Roman" w:cs="Times New Roman"/>
          <w:sz w:val="24"/>
          <w:szCs w:val="24"/>
        </w:rPr>
        <w:t>dpr</w:t>
      </w:r>
      <w:proofErr w:type="spellEnd"/>
      <w:r w:rsidRPr="00DA725A">
        <w:rPr>
          <w:rFonts w:ascii="Times New Roman" w:hAnsi="Times New Roman" w:cs="Times New Roman"/>
          <w:sz w:val="24"/>
          <w:szCs w:val="24"/>
        </w:rPr>
        <w:t xml:space="preserve"> n.115/2002</w:t>
      </w:r>
      <w:r>
        <w:rPr>
          <w:rFonts w:ascii="Times New Roman" w:hAnsi="Times New Roman" w:cs="Times New Roman"/>
          <w:sz w:val="24"/>
          <w:szCs w:val="24"/>
        </w:rPr>
        <w:t>,</w:t>
      </w:r>
      <w:r w:rsidRPr="00DA725A">
        <w:rPr>
          <w:rFonts w:ascii="Times New Roman" w:hAnsi="Times New Roman" w:cs="Times New Roman"/>
          <w:sz w:val="24"/>
          <w:szCs w:val="24"/>
        </w:rPr>
        <w:t xml:space="preserve"> che tale contributo prevede, dispone che lo stesso debba essere corrisposto per ciascun “atto esecutivo”, e indubbiamente anche l’avviso di vendita è tale</w:t>
      </w:r>
      <w:r>
        <w:rPr>
          <w:rFonts w:ascii="Times New Roman" w:hAnsi="Times New Roman" w:cs="Times New Roman"/>
          <w:sz w:val="24"/>
          <w:szCs w:val="24"/>
        </w:rPr>
        <w:t>. L’inserimento poi</w:t>
      </w:r>
      <w:r w:rsidRPr="00DA725A">
        <w:rPr>
          <w:rFonts w:ascii="Times New Roman" w:hAnsi="Times New Roman" w:cs="Times New Roman"/>
          <w:sz w:val="24"/>
          <w:szCs w:val="24"/>
        </w:rPr>
        <w:t xml:space="preserve"> dovrà avvenire solo a cura del soggetto legittimato alla pubblicazione, tendenzialmente coincidente col delegato o con la cancelleria.</w:t>
      </w:r>
    </w:p>
    <w:p w:rsidR="00AA6CF8" w:rsidRPr="00DA725A" w:rsidRDefault="00AA6CF8"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Il portale è previsto dallo stesso codice di procedura, che  all’art.490 </w:t>
      </w:r>
      <w:r w:rsidR="00A04B8A">
        <w:rPr>
          <w:rFonts w:ascii="Times New Roman" w:hAnsi="Times New Roman" w:cs="Times New Roman"/>
          <w:sz w:val="24"/>
          <w:szCs w:val="24"/>
        </w:rPr>
        <w:t xml:space="preserve">dispone </w:t>
      </w:r>
      <w:r w:rsidRPr="00DA725A">
        <w:rPr>
          <w:rFonts w:ascii="Times New Roman" w:hAnsi="Times New Roman" w:cs="Times New Roman"/>
          <w:sz w:val="24"/>
          <w:szCs w:val="24"/>
        </w:rPr>
        <w:t>l’obbligatori</w:t>
      </w:r>
      <w:r w:rsidR="00A04B8A">
        <w:rPr>
          <w:rFonts w:ascii="Times New Roman" w:hAnsi="Times New Roman" w:cs="Times New Roman"/>
          <w:sz w:val="24"/>
          <w:szCs w:val="24"/>
        </w:rPr>
        <w:t>età</w:t>
      </w:r>
      <w:r w:rsidR="001000F3">
        <w:rPr>
          <w:rFonts w:ascii="Times New Roman" w:hAnsi="Times New Roman" w:cs="Times New Roman"/>
          <w:sz w:val="24"/>
          <w:szCs w:val="24"/>
        </w:rPr>
        <w:t xml:space="preserve"> (a partire dal termine indicato al § 2)</w:t>
      </w:r>
      <w:r w:rsidR="00A04B8A">
        <w:rPr>
          <w:rFonts w:ascii="Times New Roman" w:hAnsi="Times New Roman" w:cs="Times New Roman"/>
          <w:sz w:val="24"/>
          <w:szCs w:val="24"/>
        </w:rPr>
        <w:t xml:space="preserve"> della</w:t>
      </w:r>
      <w:r w:rsidRPr="00DA725A">
        <w:rPr>
          <w:rFonts w:ascii="Times New Roman" w:hAnsi="Times New Roman" w:cs="Times New Roman"/>
          <w:sz w:val="24"/>
          <w:szCs w:val="24"/>
        </w:rPr>
        <w:t xml:space="preserve"> pubblicazione sullo stesso</w:t>
      </w:r>
      <w:r w:rsidR="001000F3">
        <w:rPr>
          <w:rFonts w:ascii="Times New Roman" w:hAnsi="Times New Roman" w:cs="Times New Roman"/>
          <w:sz w:val="24"/>
          <w:szCs w:val="24"/>
        </w:rPr>
        <w:t xml:space="preserve"> </w:t>
      </w:r>
      <w:r w:rsidRPr="00DA725A">
        <w:rPr>
          <w:rFonts w:ascii="Times New Roman" w:hAnsi="Times New Roman" w:cs="Times New Roman"/>
          <w:sz w:val="24"/>
          <w:szCs w:val="24"/>
        </w:rPr>
        <w:t xml:space="preserve"> di qualsiasi atto esecutivo che debba essere pubblicizzato</w:t>
      </w:r>
      <w:r w:rsidR="00833970" w:rsidRPr="00DA725A">
        <w:rPr>
          <w:rFonts w:ascii="Times New Roman" w:hAnsi="Times New Roman" w:cs="Times New Roman"/>
          <w:sz w:val="24"/>
          <w:szCs w:val="24"/>
        </w:rPr>
        <w:t>. Sempre lo stesso articolo prevede peraltro che l</w:t>
      </w:r>
      <w:r w:rsidR="002A5BC8">
        <w:rPr>
          <w:rFonts w:ascii="Times New Roman" w:hAnsi="Times New Roman" w:cs="Times New Roman"/>
          <w:sz w:val="24"/>
          <w:szCs w:val="24"/>
        </w:rPr>
        <w:t>a</w:t>
      </w:r>
      <w:r w:rsidR="00833970" w:rsidRPr="00DA725A">
        <w:rPr>
          <w:rFonts w:ascii="Times New Roman" w:hAnsi="Times New Roman" w:cs="Times New Roman"/>
          <w:sz w:val="24"/>
          <w:szCs w:val="24"/>
        </w:rPr>
        <w:t xml:space="preserve"> vendit</w:t>
      </w:r>
      <w:r w:rsidR="002A5BC8">
        <w:rPr>
          <w:rFonts w:ascii="Times New Roman" w:hAnsi="Times New Roman" w:cs="Times New Roman"/>
          <w:sz w:val="24"/>
          <w:szCs w:val="24"/>
        </w:rPr>
        <w:t>a</w:t>
      </w:r>
      <w:r w:rsidR="00833970" w:rsidRPr="00DA725A">
        <w:rPr>
          <w:rFonts w:ascii="Times New Roman" w:hAnsi="Times New Roman" w:cs="Times New Roman"/>
          <w:sz w:val="24"/>
          <w:szCs w:val="24"/>
        </w:rPr>
        <w:t xml:space="preserve"> di beni immobili o di mobili registrati del valore superiore a € 25.000,00 sia altresì pubblicizzata su appositi siti internet, così come il giudice può disporre la pubblicità anche su quotidiani.</w:t>
      </w:r>
      <w:r w:rsidR="002A5BC8">
        <w:rPr>
          <w:rFonts w:ascii="Times New Roman" w:hAnsi="Times New Roman" w:cs="Times New Roman"/>
          <w:sz w:val="24"/>
          <w:szCs w:val="24"/>
        </w:rPr>
        <w:t xml:space="preserve"> Pertanto gli attuali sistemi pubblicitari sono destinati a convivere con la pubblicità sul portale.</w:t>
      </w:r>
    </w:p>
    <w:p w:rsidR="00833970" w:rsidRDefault="00833970"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La pubblicità sul portale per i beni mobili deve avvenire almeno dieci giorni prima della vendita, mentre quella sui quotidiani e sui siti internet alme</w:t>
      </w:r>
      <w:r w:rsidR="00947F62" w:rsidRPr="00DA725A">
        <w:rPr>
          <w:rFonts w:ascii="Times New Roman" w:hAnsi="Times New Roman" w:cs="Times New Roman"/>
          <w:sz w:val="24"/>
          <w:szCs w:val="24"/>
        </w:rPr>
        <w:t>no quarantacinque giorni prima.</w:t>
      </w:r>
    </w:p>
    <w:p w:rsidR="001F336E" w:rsidRPr="00DA725A" w:rsidRDefault="001F336E"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base all’art.490 </w:t>
      </w:r>
      <w:proofErr w:type="spellStart"/>
      <w:r>
        <w:rPr>
          <w:rFonts w:ascii="Times New Roman" w:hAnsi="Times New Roman" w:cs="Times New Roman"/>
          <w:sz w:val="24"/>
          <w:szCs w:val="24"/>
        </w:rPr>
        <w:t>cpc</w:t>
      </w:r>
      <w:proofErr w:type="spellEnd"/>
      <w:r>
        <w:rPr>
          <w:rFonts w:ascii="Times New Roman" w:hAnsi="Times New Roman" w:cs="Times New Roman"/>
          <w:sz w:val="24"/>
          <w:szCs w:val="24"/>
        </w:rPr>
        <w:t xml:space="preserve"> alla pubblicità sul portale si affiancherà</w:t>
      </w:r>
      <w:r w:rsidR="001000F3">
        <w:rPr>
          <w:rFonts w:ascii="Times New Roman" w:hAnsi="Times New Roman" w:cs="Times New Roman"/>
          <w:sz w:val="24"/>
          <w:szCs w:val="24"/>
        </w:rPr>
        <w:t xml:space="preserve"> </w:t>
      </w:r>
      <w:r>
        <w:rPr>
          <w:rFonts w:ascii="Times New Roman" w:hAnsi="Times New Roman" w:cs="Times New Roman"/>
          <w:sz w:val="24"/>
          <w:szCs w:val="24"/>
        </w:rPr>
        <w:t xml:space="preserve">quella propria delle forme attuali, cioè dei siti privati </w:t>
      </w:r>
      <w:r w:rsidR="008028DE">
        <w:rPr>
          <w:rFonts w:ascii="Times New Roman" w:hAnsi="Times New Roman" w:cs="Times New Roman"/>
          <w:sz w:val="24"/>
          <w:szCs w:val="24"/>
        </w:rPr>
        <w:t xml:space="preserve">( </w:t>
      </w:r>
      <w:r w:rsidR="00473F73">
        <w:rPr>
          <w:rFonts w:ascii="Times New Roman" w:hAnsi="Times New Roman" w:cs="Times New Roman"/>
          <w:sz w:val="24"/>
          <w:szCs w:val="24"/>
        </w:rPr>
        <w:t>individuati</w:t>
      </w:r>
      <w:r w:rsidR="00717926">
        <w:rPr>
          <w:rFonts w:ascii="Times New Roman" w:hAnsi="Times New Roman" w:cs="Times New Roman"/>
          <w:sz w:val="24"/>
          <w:szCs w:val="24"/>
        </w:rPr>
        <w:t xml:space="preserve"> </w:t>
      </w:r>
      <w:r w:rsidR="008028DE">
        <w:rPr>
          <w:rFonts w:ascii="Times New Roman" w:hAnsi="Times New Roman" w:cs="Times New Roman"/>
          <w:sz w:val="24"/>
          <w:szCs w:val="24"/>
        </w:rPr>
        <w:t xml:space="preserve">dal ministero in base all’art.173 </w:t>
      </w:r>
      <w:r w:rsidR="008028DE">
        <w:rPr>
          <w:rFonts w:ascii="Times New Roman" w:hAnsi="Times New Roman" w:cs="Times New Roman"/>
          <w:i/>
          <w:sz w:val="24"/>
          <w:szCs w:val="24"/>
        </w:rPr>
        <w:t xml:space="preserve">ter </w:t>
      </w:r>
      <w:proofErr w:type="spellStart"/>
      <w:r w:rsidR="008028DE">
        <w:rPr>
          <w:rFonts w:ascii="Times New Roman" w:hAnsi="Times New Roman" w:cs="Times New Roman"/>
          <w:sz w:val="24"/>
          <w:szCs w:val="24"/>
        </w:rPr>
        <w:t>disp</w:t>
      </w:r>
      <w:proofErr w:type="spellEnd"/>
      <w:r w:rsidR="008028DE">
        <w:rPr>
          <w:rFonts w:ascii="Times New Roman" w:hAnsi="Times New Roman" w:cs="Times New Roman"/>
          <w:sz w:val="24"/>
          <w:szCs w:val="24"/>
        </w:rPr>
        <w:t xml:space="preserve">. </w:t>
      </w:r>
      <w:proofErr w:type="spellStart"/>
      <w:r w:rsidR="008028DE">
        <w:rPr>
          <w:rFonts w:ascii="Times New Roman" w:hAnsi="Times New Roman" w:cs="Times New Roman"/>
          <w:sz w:val="24"/>
          <w:szCs w:val="24"/>
        </w:rPr>
        <w:t>att</w:t>
      </w:r>
      <w:proofErr w:type="spellEnd"/>
      <w:r w:rsidR="008028DE">
        <w:rPr>
          <w:rFonts w:ascii="Times New Roman" w:hAnsi="Times New Roman" w:cs="Times New Roman"/>
          <w:sz w:val="24"/>
          <w:szCs w:val="24"/>
        </w:rPr>
        <w:t xml:space="preserve">. </w:t>
      </w:r>
      <w:proofErr w:type="spellStart"/>
      <w:r w:rsidR="008028DE">
        <w:rPr>
          <w:rFonts w:ascii="Times New Roman" w:hAnsi="Times New Roman" w:cs="Times New Roman"/>
          <w:sz w:val="24"/>
          <w:szCs w:val="24"/>
        </w:rPr>
        <w:t>cpc</w:t>
      </w:r>
      <w:proofErr w:type="spellEnd"/>
      <w:r w:rsidR="008028DE">
        <w:rPr>
          <w:rFonts w:ascii="Times New Roman" w:hAnsi="Times New Roman" w:cs="Times New Roman"/>
          <w:sz w:val="24"/>
          <w:szCs w:val="24"/>
        </w:rPr>
        <w:t xml:space="preserve">) </w:t>
      </w:r>
      <w:r>
        <w:rPr>
          <w:rFonts w:ascii="Times New Roman" w:hAnsi="Times New Roman" w:cs="Times New Roman"/>
          <w:sz w:val="24"/>
          <w:szCs w:val="24"/>
        </w:rPr>
        <w:t xml:space="preserve">e cartacea. Il mantenimento di queste ulteriori forme di pubblicità è </w:t>
      </w:r>
      <w:r>
        <w:rPr>
          <w:rFonts w:ascii="Times New Roman" w:hAnsi="Times New Roman" w:cs="Times New Roman"/>
          <w:sz w:val="24"/>
          <w:szCs w:val="24"/>
        </w:rPr>
        <w:lastRenderedPageBreak/>
        <w:t>utile, soprattutto in un primo tempo, assecondando l’approccio cui il pubblico è abituato.</w:t>
      </w:r>
    </w:p>
    <w:p w:rsidR="00947F62" w:rsidRPr="00A04B8A" w:rsidRDefault="00947F62"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Tutti </w:t>
      </w:r>
      <w:r w:rsidR="001F336E">
        <w:rPr>
          <w:rFonts w:ascii="Times New Roman" w:hAnsi="Times New Roman" w:cs="Times New Roman"/>
          <w:sz w:val="24"/>
          <w:szCs w:val="24"/>
        </w:rPr>
        <w:t>i termini per la pubblicità</w:t>
      </w:r>
      <w:r w:rsidRPr="00DA725A">
        <w:rPr>
          <w:rFonts w:ascii="Times New Roman" w:hAnsi="Times New Roman" w:cs="Times New Roman"/>
          <w:sz w:val="24"/>
          <w:szCs w:val="24"/>
        </w:rPr>
        <w:t>,  in base a un primo orientamento della giurisprudenza di legittimità, sono di carattere ordinatorio (</w:t>
      </w:r>
      <w:proofErr w:type="spellStart"/>
      <w:r w:rsidRPr="00DA725A">
        <w:rPr>
          <w:rFonts w:ascii="Times New Roman" w:hAnsi="Times New Roman" w:cs="Times New Roman"/>
          <w:sz w:val="24"/>
          <w:szCs w:val="24"/>
        </w:rPr>
        <w:t>Cass</w:t>
      </w:r>
      <w:proofErr w:type="spellEnd"/>
      <w:r w:rsidRPr="00DA725A">
        <w:rPr>
          <w:rFonts w:ascii="Times New Roman" w:hAnsi="Times New Roman" w:cs="Times New Roman"/>
          <w:sz w:val="24"/>
          <w:szCs w:val="24"/>
        </w:rPr>
        <w:t>. 15705/03), ma è evidente che la valutazione legislativa è calibrata sull’utilità del risultato.</w:t>
      </w:r>
      <w:r w:rsidR="00A04B8A">
        <w:rPr>
          <w:rFonts w:ascii="Times New Roman" w:hAnsi="Times New Roman" w:cs="Times New Roman"/>
          <w:sz w:val="24"/>
          <w:szCs w:val="24"/>
        </w:rPr>
        <w:t xml:space="preserve"> </w:t>
      </w:r>
      <w:r w:rsidRPr="00DA725A">
        <w:rPr>
          <w:rFonts w:ascii="Times New Roman" w:hAnsi="Times New Roman" w:cs="Times New Roman"/>
          <w:sz w:val="24"/>
          <w:szCs w:val="24"/>
        </w:rPr>
        <w:t xml:space="preserve">Va peraltro notato che il SC ha chiarito come tutte le condizioni fissate dal giudice per la pubblicità, anche ulteriori e non strettamente indicate dall’art.490 </w:t>
      </w:r>
      <w:proofErr w:type="spellStart"/>
      <w:r w:rsidRPr="00DA725A">
        <w:rPr>
          <w:rFonts w:ascii="Times New Roman" w:hAnsi="Times New Roman" w:cs="Times New Roman"/>
          <w:sz w:val="24"/>
          <w:szCs w:val="24"/>
        </w:rPr>
        <w:t>cpc</w:t>
      </w:r>
      <w:proofErr w:type="spellEnd"/>
      <w:r w:rsidRPr="00DA725A">
        <w:rPr>
          <w:rFonts w:ascii="Times New Roman" w:hAnsi="Times New Roman" w:cs="Times New Roman"/>
          <w:sz w:val="24"/>
          <w:szCs w:val="24"/>
        </w:rPr>
        <w:t>, devono essere rispettate</w:t>
      </w:r>
      <w:r w:rsidRPr="00DA725A">
        <w:rPr>
          <w:rFonts w:ascii="Times New Roman" w:hAnsi="Times New Roman" w:cs="Times New Roman"/>
          <w:color w:val="0B3B55"/>
          <w:sz w:val="24"/>
          <w:szCs w:val="24"/>
        </w:rPr>
        <w:t xml:space="preserve"> </w:t>
      </w:r>
      <w:r w:rsidRPr="00A04B8A">
        <w:rPr>
          <w:rFonts w:ascii="Times New Roman" w:hAnsi="Times New Roman" w:cs="Times New Roman"/>
          <w:sz w:val="24"/>
          <w:szCs w:val="24"/>
        </w:rPr>
        <w:t>determinando una qualsiasi inottemperanza l’illegittimit</w:t>
      </w:r>
      <w:r w:rsidR="00A04B8A">
        <w:rPr>
          <w:rFonts w:ascii="Times New Roman" w:hAnsi="Times New Roman" w:cs="Times New Roman"/>
          <w:sz w:val="24"/>
          <w:szCs w:val="24"/>
        </w:rPr>
        <w:t>à</w:t>
      </w:r>
      <w:r w:rsidRPr="00A04B8A">
        <w:rPr>
          <w:rFonts w:ascii="Times New Roman" w:hAnsi="Times New Roman" w:cs="Times New Roman"/>
          <w:sz w:val="24"/>
          <w:szCs w:val="24"/>
        </w:rPr>
        <w:t>’ dell’aggiudicazione che ugualmente ne segua, per vizi dello stesso subprocedimento di vendita (</w:t>
      </w:r>
      <w:proofErr w:type="spellStart"/>
      <w:r w:rsidRPr="00A04B8A">
        <w:rPr>
          <w:rFonts w:ascii="Times New Roman" w:hAnsi="Times New Roman" w:cs="Times New Roman"/>
          <w:sz w:val="24"/>
          <w:szCs w:val="24"/>
        </w:rPr>
        <w:t>Cass</w:t>
      </w:r>
      <w:proofErr w:type="spellEnd"/>
      <w:r w:rsidRPr="00A04B8A">
        <w:rPr>
          <w:rFonts w:ascii="Times New Roman" w:hAnsi="Times New Roman" w:cs="Times New Roman"/>
          <w:sz w:val="24"/>
          <w:szCs w:val="24"/>
        </w:rPr>
        <w:t>. 9255/15)</w:t>
      </w:r>
      <w:r w:rsidR="00003729" w:rsidRPr="00A04B8A">
        <w:rPr>
          <w:rFonts w:ascii="Times New Roman" w:hAnsi="Times New Roman" w:cs="Times New Roman"/>
          <w:sz w:val="24"/>
          <w:szCs w:val="24"/>
        </w:rPr>
        <w:t>.</w:t>
      </w:r>
    </w:p>
    <w:p w:rsidR="00947F62" w:rsidRPr="00DA725A" w:rsidRDefault="00947F62" w:rsidP="00403302">
      <w:pPr>
        <w:pStyle w:val="Default"/>
        <w:jc w:val="both"/>
        <w:rPr>
          <w:rFonts w:ascii="Times New Roman" w:hAnsi="Times New Roman" w:cs="Times New Roman"/>
        </w:rPr>
      </w:pPr>
      <w:r w:rsidRPr="00DA725A">
        <w:rPr>
          <w:rFonts w:ascii="Times New Roman" w:hAnsi="Times New Roman" w:cs="Times New Roman"/>
        </w:rPr>
        <w:t>In generale poi l’onere di anticipare i fondi per la pubblicità, come per le altre attività necessarie per consentire il progredire del processo esecutivo, va ottemperato dai creditori a pena di improcedibilità derivante appunto dall’impossibilità</w:t>
      </w:r>
      <w:r w:rsidR="008055EF">
        <w:rPr>
          <w:rFonts w:ascii="Times New Roman" w:hAnsi="Times New Roman" w:cs="Times New Roman"/>
        </w:rPr>
        <w:t xml:space="preserve"> in mancanza dei fondi di procedere nella fase liquidatoria. Ipotesi alla quale</w:t>
      </w:r>
      <w:r w:rsidRPr="00DA725A">
        <w:rPr>
          <w:rFonts w:ascii="Times New Roman" w:hAnsi="Times New Roman" w:cs="Times New Roman"/>
        </w:rPr>
        <w:t xml:space="preserve"> deve equipararsi il  procrastinarsi </w:t>
      </w:r>
      <w:r w:rsidRPr="00A04B8A">
        <w:rPr>
          <w:rFonts w:ascii="Times New Roman" w:hAnsi="Times New Roman" w:cs="Times New Roman"/>
          <w:i/>
        </w:rPr>
        <w:t>ad libitum</w:t>
      </w:r>
      <w:r w:rsidRPr="00DA725A">
        <w:rPr>
          <w:rFonts w:ascii="Times New Roman" w:hAnsi="Times New Roman" w:cs="Times New Roman"/>
        </w:rPr>
        <w:t xml:space="preserve"> del processo a discrezione del creditore,</w:t>
      </w:r>
      <w:r w:rsidR="008055EF">
        <w:rPr>
          <w:rFonts w:ascii="Times New Roman" w:hAnsi="Times New Roman" w:cs="Times New Roman"/>
        </w:rPr>
        <w:t xml:space="preserve"> situazione anch’essa</w:t>
      </w:r>
      <w:r w:rsidRPr="00DA725A">
        <w:rPr>
          <w:rFonts w:ascii="Times New Roman" w:hAnsi="Times New Roman" w:cs="Times New Roman"/>
        </w:rPr>
        <w:t xml:space="preserve"> incompatibile sia con la durata ragionevole del processo esecutivo, sia con specifiche norme in materia, prime fra tutte gli artt.624 </w:t>
      </w:r>
      <w:r w:rsidRPr="008055EF">
        <w:rPr>
          <w:rFonts w:ascii="Times New Roman" w:hAnsi="Times New Roman" w:cs="Times New Roman"/>
          <w:i/>
        </w:rPr>
        <w:t>bis</w:t>
      </w:r>
      <w:r w:rsidRPr="00DA725A">
        <w:rPr>
          <w:rFonts w:ascii="Times New Roman" w:hAnsi="Times New Roman" w:cs="Times New Roman"/>
        </w:rPr>
        <w:t xml:space="preserve"> </w:t>
      </w:r>
      <w:proofErr w:type="spellStart"/>
      <w:r w:rsidRPr="00DA725A">
        <w:rPr>
          <w:rFonts w:ascii="Times New Roman" w:hAnsi="Times New Roman" w:cs="Times New Roman"/>
        </w:rPr>
        <w:t>cpc</w:t>
      </w:r>
      <w:proofErr w:type="spellEnd"/>
      <w:r w:rsidRPr="00DA725A">
        <w:rPr>
          <w:rFonts w:ascii="Times New Roman" w:hAnsi="Times New Roman" w:cs="Times New Roman"/>
        </w:rPr>
        <w:t xml:space="preserve">, 161 </w:t>
      </w:r>
      <w:r w:rsidRPr="008055EF">
        <w:rPr>
          <w:rFonts w:ascii="Times New Roman" w:hAnsi="Times New Roman" w:cs="Times New Roman"/>
          <w:i/>
        </w:rPr>
        <w:t>bis</w:t>
      </w:r>
      <w:r w:rsidRPr="00DA725A">
        <w:rPr>
          <w:rFonts w:ascii="Times New Roman" w:hAnsi="Times New Roman" w:cs="Times New Roman"/>
        </w:rPr>
        <w:t xml:space="preserve"> </w:t>
      </w:r>
      <w:proofErr w:type="spellStart"/>
      <w:r w:rsidRPr="00DA725A">
        <w:rPr>
          <w:rFonts w:ascii="Times New Roman" w:hAnsi="Times New Roman" w:cs="Times New Roman"/>
        </w:rPr>
        <w:t>disp</w:t>
      </w:r>
      <w:proofErr w:type="spellEnd"/>
      <w:r w:rsidRPr="00DA725A">
        <w:rPr>
          <w:rFonts w:ascii="Times New Roman" w:hAnsi="Times New Roman" w:cs="Times New Roman"/>
        </w:rPr>
        <w:t xml:space="preserve">. </w:t>
      </w:r>
      <w:proofErr w:type="spellStart"/>
      <w:r w:rsidRPr="00DA725A">
        <w:rPr>
          <w:rFonts w:ascii="Times New Roman" w:hAnsi="Times New Roman" w:cs="Times New Roman"/>
        </w:rPr>
        <w:t>att</w:t>
      </w:r>
      <w:proofErr w:type="spellEnd"/>
      <w:r w:rsidRPr="00DA725A">
        <w:rPr>
          <w:rFonts w:ascii="Times New Roman" w:hAnsi="Times New Roman" w:cs="Times New Roman"/>
        </w:rPr>
        <w:t xml:space="preserve">. </w:t>
      </w:r>
      <w:proofErr w:type="spellStart"/>
      <w:r w:rsidRPr="00DA725A">
        <w:rPr>
          <w:rFonts w:ascii="Times New Roman" w:hAnsi="Times New Roman" w:cs="Times New Roman"/>
        </w:rPr>
        <w:t>cpc</w:t>
      </w:r>
      <w:proofErr w:type="spellEnd"/>
      <w:r w:rsidRPr="00DA725A">
        <w:rPr>
          <w:rFonts w:ascii="Times New Roman" w:hAnsi="Times New Roman" w:cs="Times New Roman"/>
        </w:rPr>
        <w:t>, che sanciscono la volontà legislativa di vietare rinvii o dilazioni nell’ambito del processo in esame tanto da prevedere un apposito provvedimento sospensivo – sottoposto a rigorosi termini e limiti - per il caso si presentassero necessità di significativo differimento di prosecuzione del processo.</w:t>
      </w:r>
      <w:r w:rsidR="008055EF">
        <w:rPr>
          <w:rFonts w:ascii="Times New Roman" w:hAnsi="Times New Roman" w:cs="Times New Roman"/>
        </w:rPr>
        <w:t xml:space="preserve"> Il relativo p</w:t>
      </w:r>
      <w:r w:rsidRPr="00DA725A">
        <w:rPr>
          <w:rFonts w:ascii="Times New Roman" w:hAnsi="Times New Roman" w:cs="Times New Roman"/>
        </w:rPr>
        <w:t xml:space="preserve">rovvedimento sarà impugnabile ai sensi dell’art.617 </w:t>
      </w:r>
      <w:proofErr w:type="spellStart"/>
      <w:r w:rsidRPr="00DA725A">
        <w:rPr>
          <w:rFonts w:ascii="Times New Roman" w:hAnsi="Times New Roman" w:cs="Times New Roman"/>
        </w:rPr>
        <w:t>cpc</w:t>
      </w:r>
      <w:proofErr w:type="spellEnd"/>
      <w:r w:rsidR="008055EF">
        <w:rPr>
          <w:rFonts w:ascii="Times New Roman" w:hAnsi="Times New Roman" w:cs="Times New Roman"/>
        </w:rPr>
        <w:t xml:space="preserve"> (essendo riconducibile nell’alveo di quelli di chiusura anticipata previsti dall’art.187 </w:t>
      </w:r>
      <w:r w:rsidR="008055EF">
        <w:rPr>
          <w:rFonts w:ascii="Times New Roman" w:hAnsi="Times New Roman" w:cs="Times New Roman"/>
          <w:i/>
        </w:rPr>
        <w:t xml:space="preserve">bis, </w:t>
      </w:r>
      <w:proofErr w:type="spellStart"/>
      <w:r w:rsidR="008055EF">
        <w:rPr>
          <w:rFonts w:ascii="Times New Roman" w:hAnsi="Times New Roman" w:cs="Times New Roman"/>
        </w:rPr>
        <w:t>disp</w:t>
      </w:r>
      <w:proofErr w:type="spellEnd"/>
      <w:r w:rsidR="008055EF">
        <w:rPr>
          <w:rFonts w:ascii="Times New Roman" w:hAnsi="Times New Roman" w:cs="Times New Roman"/>
        </w:rPr>
        <w:t xml:space="preserve">. </w:t>
      </w:r>
      <w:proofErr w:type="spellStart"/>
      <w:r w:rsidR="008055EF">
        <w:rPr>
          <w:rFonts w:ascii="Times New Roman" w:hAnsi="Times New Roman" w:cs="Times New Roman"/>
        </w:rPr>
        <w:t>att</w:t>
      </w:r>
      <w:proofErr w:type="spellEnd"/>
      <w:r w:rsidR="008055EF">
        <w:rPr>
          <w:rFonts w:ascii="Times New Roman" w:hAnsi="Times New Roman" w:cs="Times New Roman"/>
        </w:rPr>
        <w:t xml:space="preserve">. </w:t>
      </w:r>
      <w:proofErr w:type="spellStart"/>
      <w:r w:rsidR="008055EF">
        <w:rPr>
          <w:rFonts w:ascii="Times New Roman" w:hAnsi="Times New Roman" w:cs="Times New Roman"/>
        </w:rPr>
        <w:t>cpc</w:t>
      </w:r>
      <w:proofErr w:type="spellEnd"/>
      <w:r w:rsidR="00717926">
        <w:rPr>
          <w:rFonts w:ascii="Times New Roman" w:hAnsi="Times New Roman" w:cs="Times New Roman"/>
        </w:rPr>
        <w:t>).</w:t>
      </w:r>
    </w:p>
    <w:p w:rsidR="00947F62" w:rsidRDefault="00947F62" w:rsidP="00403302">
      <w:pPr>
        <w:spacing w:line="240" w:lineRule="auto"/>
        <w:jc w:val="both"/>
        <w:rPr>
          <w:rFonts w:ascii="Times New Roman" w:hAnsi="Times New Roman" w:cs="Times New Roman"/>
          <w:sz w:val="24"/>
          <w:szCs w:val="24"/>
        </w:rPr>
      </w:pPr>
      <w:r w:rsidRPr="00DA725A">
        <w:rPr>
          <w:rFonts w:ascii="Times New Roman" w:hAnsi="Times New Roman" w:cs="Times New Roman"/>
          <w:sz w:val="24"/>
          <w:szCs w:val="24"/>
        </w:rPr>
        <w:t xml:space="preserve">Proprio nella nostra  ipotesi però tale regola </w:t>
      </w:r>
      <w:r w:rsidR="00A04B8A">
        <w:rPr>
          <w:rFonts w:ascii="Times New Roman" w:hAnsi="Times New Roman" w:cs="Times New Roman"/>
          <w:sz w:val="24"/>
          <w:szCs w:val="24"/>
        </w:rPr>
        <w:t>è sostituita dalla diretta previs</w:t>
      </w:r>
      <w:r w:rsidR="008055EF">
        <w:rPr>
          <w:rFonts w:ascii="Times New Roman" w:hAnsi="Times New Roman" w:cs="Times New Roman"/>
          <w:sz w:val="24"/>
          <w:szCs w:val="24"/>
        </w:rPr>
        <w:t>i</w:t>
      </w:r>
      <w:r w:rsidR="00A04B8A">
        <w:rPr>
          <w:rFonts w:ascii="Times New Roman" w:hAnsi="Times New Roman" w:cs="Times New Roman"/>
          <w:sz w:val="24"/>
          <w:szCs w:val="24"/>
        </w:rPr>
        <w:t>one di un’ipotesi di estinzione tipica</w:t>
      </w:r>
      <w:r w:rsidRPr="00DA725A">
        <w:rPr>
          <w:rFonts w:ascii="Times New Roman" w:hAnsi="Times New Roman" w:cs="Times New Roman"/>
          <w:sz w:val="24"/>
          <w:szCs w:val="24"/>
        </w:rPr>
        <w:t>. Infatti  per l’omissione della pubblicità sul suddetto portale per causa imputabile ai creditori</w:t>
      </w:r>
      <w:r w:rsidR="002A5BC8">
        <w:rPr>
          <w:rFonts w:ascii="Times New Roman" w:hAnsi="Times New Roman" w:cs="Times New Roman"/>
          <w:sz w:val="24"/>
          <w:szCs w:val="24"/>
        </w:rPr>
        <w:t xml:space="preserve"> (ma non per le omissioni inerenti le altre forme di pubblicità previste, per le quali permangono le conseguenze appena viste)</w:t>
      </w:r>
      <w:r w:rsidRPr="00DA725A">
        <w:rPr>
          <w:rFonts w:ascii="Times New Roman" w:hAnsi="Times New Roman" w:cs="Times New Roman"/>
          <w:sz w:val="24"/>
          <w:szCs w:val="24"/>
        </w:rPr>
        <w:t xml:space="preserve">, l’art.631 </w:t>
      </w:r>
      <w:r w:rsidRPr="00A04B8A">
        <w:rPr>
          <w:rFonts w:ascii="Times New Roman" w:hAnsi="Times New Roman" w:cs="Times New Roman"/>
          <w:i/>
          <w:sz w:val="24"/>
          <w:szCs w:val="24"/>
        </w:rPr>
        <w:t>bis</w:t>
      </w:r>
      <w:r w:rsidRPr="00DA725A">
        <w:rPr>
          <w:rFonts w:ascii="Times New Roman" w:hAnsi="Times New Roman" w:cs="Times New Roman"/>
          <w:sz w:val="24"/>
          <w:szCs w:val="24"/>
        </w:rPr>
        <w:t xml:space="preserve"> </w:t>
      </w:r>
      <w:proofErr w:type="spellStart"/>
      <w:r w:rsidRPr="00DA725A">
        <w:rPr>
          <w:rFonts w:ascii="Times New Roman" w:hAnsi="Times New Roman" w:cs="Times New Roman"/>
          <w:sz w:val="24"/>
          <w:szCs w:val="24"/>
        </w:rPr>
        <w:t>cpc</w:t>
      </w:r>
      <w:proofErr w:type="spellEnd"/>
      <w:r w:rsidRPr="00DA725A">
        <w:rPr>
          <w:rFonts w:ascii="Times New Roman" w:hAnsi="Times New Roman" w:cs="Times New Roman"/>
          <w:sz w:val="24"/>
          <w:szCs w:val="24"/>
        </w:rPr>
        <w:t xml:space="preserve"> stabilisce che si applichi l’estinzione </w:t>
      </w:r>
      <w:r w:rsidR="00A04B8A">
        <w:rPr>
          <w:rFonts w:ascii="Times New Roman" w:hAnsi="Times New Roman" w:cs="Times New Roman"/>
          <w:sz w:val="24"/>
          <w:szCs w:val="24"/>
        </w:rPr>
        <w:t>disciplinata in via generale da</w:t>
      </w:r>
      <w:r w:rsidRPr="00DA725A">
        <w:rPr>
          <w:rFonts w:ascii="Times New Roman" w:hAnsi="Times New Roman" w:cs="Times New Roman"/>
          <w:sz w:val="24"/>
          <w:szCs w:val="24"/>
        </w:rPr>
        <w:t xml:space="preserve">l procedimento di cui all’art.630 </w:t>
      </w:r>
      <w:proofErr w:type="spellStart"/>
      <w:r w:rsidRPr="00DA725A">
        <w:rPr>
          <w:rFonts w:ascii="Times New Roman" w:hAnsi="Times New Roman" w:cs="Times New Roman"/>
          <w:sz w:val="24"/>
          <w:szCs w:val="24"/>
        </w:rPr>
        <w:t>cpc</w:t>
      </w:r>
      <w:proofErr w:type="spellEnd"/>
      <w:r w:rsidRPr="00DA725A">
        <w:rPr>
          <w:rFonts w:ascii="Times New Roman" w:hAnsi="Times New Roman" w:cs="Times New Roman"/>
          <w:sz w:val="24"/>
          <w:szCs w:val="24"/>
        </w:rPr>
        <w:t>., con la conseguente applicazione del rimedio del reclamo ivi disciplinato in luogo dell’opposizione agli atti esecutivi</w:t>
      </w:r>
      <w:r w:rsidR="00676D0E">
        <w:rPr>
          <w:rFonts w:ascii="Times New Roman" w:hAnsi="Times New Roman" w:cs="Times New Roman"/>
          <w:sz w:val="24"/>
          <w:szCs w:val="24"/>
        </w:rPr>
        <w:t>.</w:t>
      </w:r>
      <w:r w:rsidR="00717926">
        <w:rPr>
          <w:rFonts w:ascii="Times New Roman" w:hAnsi="Times New Roman" w:cs="Times New Roman"/>
          <w:sz w:val="24"/>
          <w:szCs w:val="24"/>
        </w:rPr>
        <w:t xml:space="preserve"> Naturalmente tale provvedimento estintivo proprio conseguirà esclusivamente al superamento del termine di legge per la pubblicità, perché anteriormente allo spirare dello stesso non vi sarà altra possibilità che una pronuncia di improcedibilità nei termini di cui sopra, essendo come detto l’estinzione ex art. 631 </w:t>
      </w:r>
      <w:r w:rsidR="00717926" w:rsidRPr="00717926">
        <w:rPr>
          <w:rFonts w:ascii="Times New Roman" w:hAnsi="Times New Roman" w:cs="Times New Roman"/>
          <w:i/>
          <w:sz w:val="24"/>
          <w:szCs w:val="24"/>
        </w:rPr>
        <w:t>bis</w:t>
      </w:r>
      <w:r w:rsidR="00717926">
        <w:rPr>
          <w:rFonts w:ascii="Times New Roman" w:hAnsi="Times New Roman" w:cs="Times New Roman"/>
          <w:sz w:val="24"/>
          <w:szCs w:val="24"/>
        </w:rPr>
        <w:t xml:space="preserve"> </w:t>
      </w:r>
      <w:proofErr w:type="spellStart"/>
      <w:r w:rsidR="00717926">
        <w:rPr>
          <w:rFonts w:ascii="Times New Roman" w:hAnsi="Times New Roman" w:cs="Times New Roman"/>
          <w:sz w:val="24"/>
          <w:szCs w:val="24"/>
        </w:rPr>
        <w:t>cpc</w:t>
      </w:r>
      <w:proofErr w:type="spellEnd"/>
      <w:r w:rsidR="00717926">
        <w:rPr>
          <w:rFonts w:ascii="Times New Roman" w:hAnsi="Times New Roman" w:cs="Times New Roman"/>
          <w:sz w:val="24"/>
          <w:szCs w:val="24"/>
        </w:rPr>
        <w:t xml:space="preserve"> ricollegata all’omissione della pubblicità, concetto che non può che ricollegarsi all’inosservanza del termine di quarantacinque giorni anteriori alla vendita.</w:t>
      </w:r>
    </w:p>
    <w:p w:rsidR="00F25040" w:rsidRDefault="00F25040" w:rsidP="00403302">
      <w:pPr>
        <w:spacing w:line="240" w:lineRule="auto"/>
        <w:jc w:val="both"/>
        <w:rPr>
          <w:rFonts w:ascii="Times New Roman" w:hAnsi="Times New Roman" w:cs="Times New Roman"/>
          <w:sz w:val="24"/>
          <w:szCs w:val="24"/>
        </w:rPr>
      </w:pPr>
      <w:r>
        <w:rPr>
          <w:rFonts w:ascii="Times New Roman" w:hAnsi="Times New Roman" w:cs="Times New Roman"/>
          <w:sz w:val="24"/>
          <w:szCs w:val="24"/>
        </w:rPr>
        <w:t>Dal punto di vista funzionale il portale è suddiviso in due aree, una pubblica di libero accesso, utilizzabile per la ricerca delle inserzioni (e attraverso la quale si possono formulare le istanze di visita dell’immobile</w:t>
      </w:r>
      <w:r w:rsidR="001F336E">
        <w:rPr>
          <w:rFonts w:ascii="Times New Roman" w:hAnsi="Times New Roman" w:cs="Times New Roman"/>
          <w:sz w:val="24"/>
          <w:szCs w:val="24"/>
        </w:rPr>
        <w:t xml:space="preserve">, </w:t>
      </w:r>
      <w:r>
        <w:rPr>
          <w:rFonts w:ascii="Times New Roman" w:hAnsi="Times New Roman" w:cs="Times New Roman"/>
          <w:sz w:val="24"/>
          <w:szCs w:val="24"/>
        </w:rPr>
        <w:t xml:space="preserve">per le quali </w:t>
      </w:r>
      <w:r>
        <w:rPr>
          <w:rFonts w:ascii="Times New Roman" w:hAnsi="Times New Roman" w:cs="Times New Roman"/>
          <w:i/>
          <w:sz w:val="24"/>
          <w:szCs w:val="24"/>
        </w:rPr>
        <w:t>infra</w:t>
      </w:r>
      <w:r>
        <w:rPr>
          <w:rFonts w:ascii="Times New Roman" w:hAnsi="Times New Roman" w:cs="Times New Roman"/>
          <w:sz w:val="24"/>
          <w:szCs w:val="24"/>
        </w:rPr>
        <w:t>)</w:t>
      </w:r>
      <w:r w:rsidR="00C148DB">
        <w:rPr>
          <w:rFonts w:ascii="Times New Roman" w:hAnsi="Times New Roman" w:cs="Times New Roman"/>
          <w:sz w:val="24"/>
          <w:szCs w:val="24"/>
        </w:rPr>
        <w:t>,</w:t>
      </w:r>
      <w:r w:rsidR="001F336E">
        <w:rPr>
          <w:rFonts w:ascii="Times New Roman" w:hAnsi="Times New Roman" w:cs="Times New Roman"/>
          <w:sz w:val="24"/>
          <w:szCs w:val="24"/>
        </w:rPr>
        <w:t xml:space="preserve"> che rinvia poi ai portali privati (ma alla </w:t>
      </w:r>
      <w:r w:rsidR="001F336E">
        <w:rPr>
          <w:rFonts w:ascii="Times New Roman" w:hAnsi="Times New Roman" w:cs="Times New Roman"/>
          <w:i/>
          <w:sz w:val="24"/>
          <w:szCs w:val="24"/>
        </w:rPr>
        <w:t xml:space="preserve">home page, </w:t>
      </w:r>
      <w:r w:rsidR="001F336E">
        <w:rPr>
          <w:rFonts w:ascii="Times New Roman" w:hAnsi="Times New Roman" w:cs="Times New Roman"/>
          <w:sz w:val="24"/>
          <w:szCs w:val="24"/>
        </w:rPr>
        <w:t>non alla pagina in cui è indicato il singolo bene di interesse)</w:t>
      </w:r>
      <w:r>
        <w:rPr>
          <w:rFonts w:ascii="Times New Roman" w:hAnsi="Times New Roman" w:cs="Times New Roman"/>
          <w:sz w:val="24"/>
          <w:szCs w:val="24"/>
        </w:rPr>
        <w:t>, e che fornisce anche il servizio di invio degli avvisi di vendita,  previa iscrizione; l’altra riservata, accessibile prima di tutto a custode e  referente della procedura, che accedono tramite carta nazionale dei servizi.</w:t>
      </w:r>
    </w:p>
    <w:p w:rsidR="00165C53" w:rsidRPr="00165C53" w:rsidRDefault="00165C53" w:rsidP="00403302">
      <w:pPr>
        <w:autoSpaceDE w:val="0"/>
        <w:autoSpaceDN w:val="0"/>
        <w:adjustRightInd w:val="0"/>
        <w:spacing w:after="164" w:line="240" w:lineRule="auto"/>
        <w:jc w:val="both"/>
        <w:rPr>
          <w:rFonts w:ascii="Times New Roman" w:hAnsi="Times New Roman" w:cs="Times New Roman"/>
          <w:sz w:val="23"/>
          <w:szCs w:val="23"/>
        </w:rPr>
      </w:pPr>
      <w:r>
        <w:rPr>
          <w:rFonts w:ascii="Times New Roman" w:hAnsi="Times New Roman" w:cs="Times New Roman"/>
          <w:sz w:val="24"/>
          <w:szCs w:val="24"/>
        </w:rPr>
        <w:lastRenderedPageBreak/>
        <w:t xml:space="preserve">Gli eventi che, in base al </w:t>
      </w:r>
      <w:r w:rsidRPr="00165C53">
        <w:rPr>
          <w:rFonts w:ascii="Times New Roman" w:hAnsi="Times New Roman" w:cs="Times New Roman"/>
          <w:bCs/>
          <w:sz w:val="23"/>
          <w:szCs w:val="23"/>
        </w:rPr>
        <w:t>§ 1.12.2 delle specifiche tecniche</w:t>
      </w:r>
      <w:r>
        <w:rPr>
          <w:rFonts w:ascii="Times New Roman" w:hAnsi="Times New Roman" w:cs="Times New Roman"/>
          <w:bCs/>
          <w:sz w:val="23"/>
          <w:szCs w:val="23"/>
        </w:rPr>
        <w:t>,</w:t>
      </w:r>
      <w:r>
        <w:rPr>
          <w:rFonts w:ascii="Times New Roman" w:hAnsi="Times New Roman" w:cs="Times New Roman"/>
          <w:sz w:val="16"/>
          <w:szCs w:val="16"/>
        </w:rPr>
        <w:t>.</w:t>
      </w:r>
      <w:r>
        <w:rPr>
          <w:rFonts w:ascii="Times New Roman" w:hAnsi="Times New Roman" w:cs="Times New Roman"/>
          <w:sz w:val="24"/>
          <w:szCs w:val="24"/>
        </w:rPr>
        <w:t xml:space="preserve"> vanno inseriti, oltre all’avviso di vendita  ed ai relativi allegati,</w:t>
      </w:r>
      <w:r>
        <w:rPr>
          <w:rFonts w:ascii="Times New Roman" w:hAnsi="Times New Roman" w:cs="Times New Roman"/>
        </w:rPr>
        <w:t xml:space="preserve"> sono la </w:t>
      </w:r>
      <w:r w:rsidRPr="00165C53">
        <w:rPr>
          <w:rFonts w:ascii="Times New Roman" w:hAnsi="Times New Roman" w:cs="Times New Roman"/>
          <w:bCs/>
          <w:color w:val="000000"/>
          <w:sz w:val="23"/>
          <w:szCs w:val="23"/>
        </w:rPr>
        <w:t>sospensione vendita</w:t>
      </w:r>
      <w:r w:rsidRPr="00165C53">
        <w:rPr>
          <w:rFonts w:ascii="Times New Roman" w:hAnsi="Times New Roman" w:cs="Times New Roman"/>
          <w:bCs/>
          <w:sz w:val="23"/>
          <w:szCs w:val="23"/>
        </w:rPr>
        <w:t>,</w:t>
      </w:r>
      <w:r w:rsidRPr="00165C53">
        <w:rPr>
          <w:rFonts w:ascii="Times New Roman" w:hAnsi="Times New Roman" w:cs="Times New Roman"/>
          <w:color w:val="000000"/>
          <w:sz w:val="23"/>
          <w:szCs w:val="23"/>
        </w:rPr>
        <w:t xml:space="preserve"> </w:t>
      </w:r>
      <w:r w:rsidRPr="00165C53">
        <w:rPr>
          <w:rFonts w:ascii="Times New Roman" w:hAnsi="Times New Roman" w:cs="Times New Roman"/>
          <w:sz w:val="23"/>
          <w:szCs w:val="23"/>
        </w:rPr>
        <w:t xml:space="preserve">la </w:t>
      </w:r>
      <w:r w:rsidRPr="00165C53">
        <w:rPr>
          <w:rFonts w:ascii="Times New Roman" w:hAnsi="Times New Roman" w:cs="Times New Roman"/>
          <w:bCs/>
          <w:color w:val="000000"/>
          <w:sz w:val="23"/>
          <w:szCs w:val="23"/>
        </w:rPr>
        <w:t>vendita cancellata</w:t>
      </w:r>
      <w:r>
        <w:rPr>
          <w:rFonts w:ascii="Times New Roman" w:hAnsi="Times New Roman" w:cs="Times New Roman"/>
          <w:bCs/>
          <w:sz w:val="23"/>
          <w:szCs w:val="23"/>
        </w:rPr>
        <w:t xml:space="preserve"> (ipotesi di fatto corrispondenti con l’estinzione della procedura)</w:t>
      </w:r>
      <w:r w:rsidRPr="00165C53">
        <w:rPr>
          <w:rFonts w:ascii="Times New Roman" w:hAnsi="Times New Roman" w:cs="Times New Roman"/>
          <w:bCs/>
          <w:sz w:val="23"/>
          <w:szCs w:val="23"/>
        </w:rPr>
        <w:t xml:space="preserve">, la </w:t>
      </w:r>
      <w:r w:rsidRPr="00165C53">
        <w:rPr>
          <w:rFonts w:ascii="Times New Roman" w:hAnsi="Times New Roman" w:cs="Times New Roman"/>
          <w:bCs/>
          <w:color w:val="000000"/>
          <w:sz w:val="23"/>
          <w:szCs w:val="23"/>
        </w:rPr>
        <w:t>sostituzione del giudice</w:t>
      </w:r>
      <w:r w:rsidRPr="00165C53">
        <w:rPr>
          <w:rFonts w:ascii="Times New Roman" w:hAnsi="Times New Roman" w:cs="Times New Roman"/>
          <w:sz w:val="23"/>
          <w:szCs w:val="23"/>
        </w:rPr>
        <w:t>, la</w:t>
      </w:r>
      <w:r w:rsidRPr="00165C53">
        <w:rPr>
          <w:rFonts w:ascii="Times New Roman" w:hAnsi="Times New Roman" w:cs="Times New Roman"/>
          <w:color w:val="000000"/>
          <w:sz w:val="23"/>
          <w:szCs w:val="23"/>
        </w:rPr>
        <w:t xml:space="preserve"> </w:t>
      </w:r>
      <w:r w:rsidRPr="00165C53">
        <w:rPr>
          <w:rFonts w:ascii="Times New Roman" w:hAnsi="Times New Roman" w:cs="Times New Roman"/>
          <w:bCs/>
          <w:color w:val="000000"/>
          <w:sz w:val="23"/>
          <w:szCs w:val="23"/>
        </w:rPr>
        <w:t>sostituzione/revoca delegato</w:t>
      </w:r>
      <w:r>
        <w:rPr>
          <w:rFonts w:ascii="Times New Roman" w:hAnsi="Times New Roman" w:cs="Times New Roman"/>
          <w:bCs/>
          <w:sz w:val="23"/>
          <w:szCs w:val="23"/>
        </w:rPr>
        <w:t xml:space="preserve">, </w:t>
      </w:r>
      <w:r w:rsidRPr="00165C53">
        <w:rPr>
          <w:rFonts w:ascii="Times New Roman" w:hAnsi="Times New Roman" w:cs="Times New Roman"/>
          <w:bCs/>
          <w:sz w:val="23"/>
          <w:szCs w:val="23"/>
        </w:rPr>
        <w:t>avviso di rettifica (</w:t>
      </w:r>
      <w:r w:rsidRPr="00165C53">
        <w:rPr>
          <w:rFonts w:ascii="Times New Roman" w:hAnsi="Times New Roman" w:cs="Times New Roman"/>
          <w:sz w:val="23"/>
          <w:szCs w:val="23"/>
        </w:rPr>
        <w:t xml:space="preserve">rettifiche al testo dell’inserzione o aggiunta al testo dell’avviso di vendita; </w:t>
      </w:r>
      <w:r w:rsidRPr="00165C53">
        <w:rPr>
          <w:rFonts w:ascii="Times New Roman" w:hAnsi="Times New Roman" w:cs="Times New Roman"/>
          <w:bCs/>
          <w:sz w:val="23"/>
          <w:szCs w:val="23"/>
        </w:rPr>
        <w:t>rinvio senza possibilità di presentazione offerte (</w:t>
      </w:r>
      <w:r w:rsidRPr="00165C53">
        <w:rPr>
          <w:rFonts w:ascii="Times New Roman" w:hAnsi="Times New Roman" w:cs="Times New Roman"/>
          <w:sz w:val="23"/>
          <w:szCs w:val="23"/>
        </w:rPr>
        <w:t xml:space="preserve"> rinvio della data dell</w:t>
      </w:r>
      <w:r>
        <w:rPr>
          <w:rFonts w:ascii="Times New Roman" w:hAnsi="Times New Roman" w:cs="Times New Roman"/>
          <w:sz w:val="23"/>
          <w:szCs w:val="23"/>
        </w:rPr>
        <w:t>a</w:t>
      </w:r>
      <w:r w:rsidRPr="00165C53">
        <w:rPr>
          <w:rFonts w:ascii="Times New Roman" w:hAnsi="Times New Roman" w:cs="Times New Roman"/>
          <w:sz w:val="23"/>
          <w:szCs w:val="23"/>
        </w:rPr>
        <w:t xml:space="preserve"> vendita </w:t>
      </w:r>
      <w:r>
        <w:rPr>
          <w:rFonts w:ascii="Times New Roman" w:hAnsi="Times New Roman" w:cs="Times New Roman"/>
          <w:sz w:val="23"/>
          <w:szCs w:val="23"/>
        </w:rPr>
        <w:t>senza</w:t>
      </w:r>
      <w:r w:rsidRPr="00165C53">
        <w:rPr>
          <w:rFonts w:ascii="Times New Roman" w:hAnsi="Times New Roman" w:cs="Times New Roman"/>
          <w:sz w:val="23"/>
          <w:szCs w:val="23"/>
        </w:rPr>
        <w:t xml:space="preserve"> possibil</w:t>
      </w:r>
      <w:r>
        <w:rPr>
          <w:rFonts w:ascii="Times New Roman" w:hAnsi="Times New Roman" w:cs="Times New Roman"/>
          <w:sz w:val="23"/>
          <w:szCs w:val="23"/>
        </w:rPr>
        <w:t>ità di</w:t>
      </w:r>
      <w:r w:rsidRPr="00165C53">
        <w:rPr>
          <w:rFonts w:ascii="Times New Roman" w:hAnsi="Times New Roman" w:cs="Times New Roman"/>
          <w:sz w:val="23"/>
          <w:szCs w:val="23"/>
        </w:rPr>
        <w:t xml:space="preserve"> presentare offerte, oltre a quelle pervenute nella data stabilita</w:t>
      </w:r>
      <w:r>
        <w:rPr>
          <w:rFonts w:ascii="Times New Roman" w:hAnsi="Times New Roman" w:cs="Times New Roman"/>
          <w:sz w:val="23"/>
          <w:szCs w:val="23"/>
        </w:rPr>
        <w:t>; ipotesi che ritengo ricorra allorché la linea a disposizione del referente non funzioni).</w:t>
      </w:r>
    </w:p>
    <w:p w:rsidR="00165C53" w:rsidRPr="00165C53" w:rsidRDefault="00165C53" w:rsidP="00403302">
      <w:pPr>
        <w:pStyle w:val="Default"/>
        <w:rPr>
          <w:rFonts w:ascii="Times New Roman" w:hAnsi="Times New Roman" w:cs="Times New Roman"/>
          <w:sz w:val="16"/>
          <w:szCs w:val="16"/>
        </w:rPr>
      </w:pPr>
      <w:r w:rsidRPr="00165C53">
        <w:rPr>
          <w:rFonts w:ascii="Times New Roman" w:hAnsi="Times New Roman" w:cs="Times New Roman"/>
          <w:bCs/>
          <w:sz w:val="23"/>
          <w:szCs w:val="23"/>
        </w:rPr>
        <w:t xml:space="preserve"> </w:t>
      </w:r>
    </w:p>
    <w:p w:rsidR="00403302" w:rsidRDefault="00403302" w:rsidP="00403302">
      <w:pPr>
        <w:spacing w:line="240" w:lineRule="auto"/>
        <w:jc w:val="both"/>
        <w:rPr>
          <w:rFonts w:ascii="Times New Roman" w:hAnsi="Times New Roman" w:cs="Times New Roman"/>
          <w:sz w:val="24"/>
          <w:szCs w:val="24"/>
        </w:rPr>
      </w:pPr>
    </w:p>
    <w:p w:rsidR="00403302" w:rsidRPr="00403302" w:rsidRDefault="00403302" w:rsidP="00403302">
      <w:pPr>
        <w:spacing w:line="240" w:lineRule="auto"/>
        <w:jc w:val="both"/>
        <w:rPr>
          <w:rFonts w:ascii="Times New Roman" w:hAnsi="Times New Roman" w:cs="Times New Roman"/>
          <w:b/>
          <w:sz w:val="24"/>
          <w:szCs w:val="24"/>
        </w:rPr>
      </w:pPr>
      <w:r w:rsidRPr="00403302">
        <w:rPr>
          <w:rFonts w:ascii="Times New Roman" w:hAnsi="Times New Roman" w:cs="Times New Roman"/>
          <w:b/>
          <w:sz w:val="24"/>
          <w:szCs w:val="24"/>
        </w:rPr>
        <w:t>6. GESTORE DELLE VENDITE</w:t>
      </w:r>
    </w:p>
    <w:p w:rsidR="00BD68BD" w:rsidRPr="00414E1A" w:rsidRDefault="00522ECE"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Qualche parola va ora spesa con riguardo alla figura del gestore della vendita</w:t>
      </w:r>
      <w:r w:rsidR="002A5BC8" w:rsidRPr="00414E1A">
        <w:rPr>
          <w:rFonts w:ascii="Times New Roman" w:hAnsi="Times New Roman" w:cs="Times New Roman"/>
          <w:sz w:val="24"/>
          <w:szCs w:val="24"/>
        </w:rPr>
        <w:t xml:space="preserve">, </w:t>
      </w:r>
      <w:r w:rsidRPr="00414E1A">
        <w:rPr>
          <w:rFonts w:ascii="Times New Roman" w:hAnsi="Times New Roman" w:cs="Times New Roman"/>
          <w:sz w:val="24"/>
          <w:szCs w:val="24"/>
        </w:rPr>
        <w:t xml:space="preserve"> </w:t>
      </w:r>
      <w:r w:rsidR="002C109D" w:rsidRPr="00414E1A">
        <w:rPr>
          <w:rFonts w:ascii="Times New Roman" w:hAnsi="Times New Roman" w:cs="Times New Roman"/>
          <w:sz w:val="24"/>
          <w:szCs w:val="24"/>
        </w:rPr>
        <w:t xml:space="preserve">soggetto </w:t>
      </w:r>
      <w:r w:rsidRPr="00414E1A">
        <w:rPr>
          <w:rFonts w:ascii="Times New Roman" w:hAnsi="Times New Roman" w:cs="Times New Roman"/>
          <w:sz w:val="24"/>
          <w:szCs w:val="24"/>
        </w:rPr>
        <w:t>descritto dall’art.2 del decreto come</w:t>
      </w:r>
      <w:r w:rsidR="002C109D" w:rsidRPr="00414E1A">
        <w:rPr>
          <w:rFonts w:ascii="Times New Roman" w:hAnsi="Times New Roman" w:cs="Times New Roman"/>
          <w:sz w:val="24"/>
          <w:szCs w:val="24"/>
        </w:rPr>
        <w:t xml:space="preserve"> </w:t>
      </w:r>
      <w:r w:rsidRPr="00414E1A">
        <w:rPr>
          <w:rFonts w:ascii="Times New Roman" w:hAnsi="Times New Roman" w:cs="Times New Roman"/>
          <w:sz w:val="24"/>
          <w:szCs w:val="24"/>
        </w:rPr>
        <w:t xml:space="preserve">costituito in forma societaria </w:t>
      </w:r>
      <w:r w:rsidR="002C109D" w:rsidRPr="00414E1A">
        <w:rPr>
          <w:rFonts w:ascii="Times New Roman" w:hAnsi="Times New Roman" w:cs="Times New Roman"/>
          <w:sz w:val="24"/>
          <w:szCs w:val="24"/>
        </w:rPr>
        <w:t xml:space="preserve">ed </w:t>
      </w:r>
      <w:r w:rsidRPr="00414E1A">
        <w:rPr>
          <w:rFonts w:ascii="Times New Roman" w:hAnsi="Times New Roman" w:cs="Times New Roman"/>
          <w:sz w:val="24"/>
          <w:szCs w:val="24"/>
        </w:rPr>
        <w:t>autorizzato dal giudice a gestire la vendita telematica, e che deve essere iscritto in un apposito registro (art.3)</w:t>
      </w:r>
      <w:r w:rsidR="00BD68BD" w:rsidRPr="00414E1A">
        <w:rPr>
          <w:rFonts w:ascii="Times New Roman" w:hAnsi="Times New Roman" w:cs="Times New Roman"/>
          <w:sz w:val="24"/>
          <w:szCs w:val="24"/>
        </w:rPr>
        <w:t>,</w:t>
      </w:r>
      <w:r w:rsidRPr="00414E1A">
        <w:rPr>
          <w:rFonts w:ascii="Times New Roman" w:hAnsi="Times New Roman" w:cs="Times New Roman"/>
          <w:sz w:val="24"/>
          <w:szCs w:val="24"/>
        </w:rPr>
        <w:t xml:space="preserve"> che prevede fra l’altro l’obbligo di una garanzia fideiussoria di tre milioni di euro. </w:t>
      </w:r>
      <w:r w:rsidR="00EC3D35" w:rsidRPr="00414E1A">
        <w:rPr>
          <w:rFonts w:ascii="Times New Roman" w:hAnsi="Times New Roman" w:cs="Times New Roman"/>
          <w:sz w:val="24"/>
          <w:szCs w:val="24"/>
        </w:rPr>
        <w:t>N</w:t>
      </w:r>
      <w:r w:rsidR="002A5BC8" w:rsidRPr="00414E1A">
        <w:rPr>
          <w:rFonts w:ascii="Times New Roman" w:hAnsi="Times New Roman" w:cs="Times New Roman"/>
          <w:sz w:val="24"/>
          <w:szCs w:val="24"/>
        </w:rPr>
        <w:t>on</w:t>
      </w:r>
      <w:r w:rsidR="00EC3D35" w:rsidRPr="00414E1A">
        <w:rPr>
          <w:rFonts w:ascii="Times New Roman" w:hAnsi="Times New Roman" w:cs="Times New Roman"/>
          <w:sz w:val="24"/>
          <w:szCs w:val="24"/>
        </w:rPr>
        <w:t xml:space="preserve"> si pone in proposito a mio avviso la questione circa un’incompatibilità </w:t>
      </w:r>
      <w:r w:rsidRPr="00414E1A">
        <w:rPr>
          <w:rFonts w:ascii="Times New Roman" w:hAnsi="Times New Roman" w:cs="Times New Roman"/>
          <w:sz w:val="24"/>
          <w:szCs w:val="24"/>
        </w:rPr>
        <w:t xml:space="preserve">fra gestore della pubblicità e gestore della vendita, dal momento che il divieto a partecipare alle operazioni di vendita </w:t>
      </w:r>
      <w:r w:rsidR="00EC3D35" w:rsidRPr="00414E1A">
        <w:rPr>
          <w:rFonts w:ascii="Times New Roman" w:hAnsi="Times New Roman" w:cs="Times New Roman"/>
          <w:sz w:val="24"/>
          <w:szCs w:val="24"/>
        </w:rPr>
        <w:t xml:space="preserve">previsto per il secondo </w:t>
      </w:r>
      <w:r w:rsidRPr="00414E1A">
        <w:rPr>
          <w:rFonts w:ascii="Times New Roman" w:hAnsi="Times New Roman" w:cs="Times New Roman"/>
          <w:sz w:val="24"/>
          <w:szCs w:val="24"/>
        </w:rPr>
        <w:t>(art.10)</w:t>
      </w:r>
      <w:r w:rsidR="00EC3D35" w:rsidRPr="00414E1A">
        <w:rPr>
          <w:rFonts w:ascii="Times New Roman" w:hAnsi="Times New Roman" w:cs="Times New Roman"/>
          <w:sz w:val="24"/>
          <w:szCs w:val="24"/>
        </w:rPr>
        <w:t xml:space="preserve">, non può che riguardare quelle </w:t>
      </w:r>
      <w:r w:rsidRPr="00414E1A">
        <w:rPr>
          <w:rFonts w:ascii="Times New Roman" w:hAnsi="Times New Roman" w:cs="Times New Roman"/>
          <w:sz w:val="24"/>
          <w:szCs w:val="24"/>
        </w:rPr>
        <w:t>(dal lato pubblicistico) strettamente riservate al referente della vendita (delegato)</w:t>
      </w:r>
      <w:r w:rsidR="00F13C99" w:rsidRPr="00414E1A">
        <w:rPr>
          <w:rFonts w:ascii="Times New Roman" w:hAnsi="Times New Roman" w:cs="Times New Roman"/>
          <w:sz w:val="24"/>
          <w:szCs w:val="24"/>
        </w:rPr>
        <w:t xml:space="preserve">, e su questo depone inequivocabilmente anche l’art.2, </w:t>
      </w:r>
      <w:proofErr w:type="spellStart"/>
      <w:r w:rsidR="00F13C99" w:rsidRPr="00414E1A">
        <w:rPr>
          <w:rFonts w:ascii="Times New Roman" w:hAnsi="Times New Roman" w:cs="Times New Roman"/>
          <w:sz w:val="24"/>
          <w:szCs w:val="24"/>
        </w:rPr>
        <w:t>lett</w:t>
      </w:r>
      <w:proofErr w:type="spellEnd"/>
      <w:r w:rsidR="00F13C99" w:rsidRPr="00414E1A">
        <w:rPr>
          <w:rFonts w:ascii="Times New Roman" w:hAnsi="Times New Roman" w:cs="Times New Roman"/>
          <w:sz w:val="24"/>
          <w:szCs w:val="24"/>
        </w:rPr>
        <w:t>. a) del decreto</w:t>
      </w:r>
      <w:r w:rsidR="00EC3D35" w:rsidRPr="00414E1A">
        <w:rPr>
          <w:rFonts w:ascii="Times New Roman" w:hAnsi="Times New Roman" w:cs="Times New Roman"/>
          <w:sz w:val="24"/>
          <w:szCs w:val="24"/>
        </w:rPr>
        <w:t xml:space="preserve"> - altrimenti non si spiegherebbero i compiti assai rilevanti</w:t>
      </w:r>
      <w:r w:rsidR="002A5BC8" w:rsidRPr="00414E1A">
        <w:rPr>
          <w:rFonts w:ascii="Times New Roman" w:hAnsi="Times New Roman" w:cs="Times New Roman"/>
          <w:sz w:val="24"/>
          <w:szCs w:val="24"/>
        </w:rPr>
        <w:t xml:space="preserve"> (ne abbiamo scorso alcuni in queste pagine)</w:t>
      </w:r>
      <w:r w:rsidR="00EC3D35" w:rsidRPr="00414E1A">
        <w:rPr>
          <w:rFonts w:ascii="Times New Roman" w:hAnsi="Times New Roman" w:cs="Times New Roman"/>
          <w:sz w:val="24"/>
          <w:szCs w:val="24"/>
        </w:rPr>
        <w:t xml:space="preserve"> assegnati al primo dal decreto</w:t>
      </w:r>
      <w:r w:rsidRPr="00414E1A">
        <w:rPr>
          <w:rFonts w:ascii="Times New Roman" w:hAnsi="Times New Roman" w:cs="Times New Roman"/>
          <w:sz w:val="24"/>
          <w:szCs w:val="24"/>
        </w:rPr>
        <w:t>,</w:t>
      </w:r>
      <w:r w:rsidR="002A5BC8" w:rsidRPr="00414E1A">
        <w:rPr>
          <w:rFonts w:ascii="Times New Roman" w:hAnsi="Times New Roman" w:cs="Times New Roman"/>
          <w:sz w:val="24"/>
          <w:szCs w:val="24"/>
        </w:rPr>
        <w:t xml:space="preserve"> alcuni ben più delicati della gestione della pubblicità,</w:t>
      </w:r>
      <w:r w:rsidRPr="00414E1A">
        <w:rPr>
          <w:rFonts w:ascii="Times New Roman" w:hAnsi="Times New Roman" w:cs="Times New Roman"/>
          <w:sz w:val="24"/>
          <w:szCs w:val="24"/>
        </w:rPr>
        <w:t xml:space="preserve"> e  </w:t>
      </w:r>
      <w:r w:rsidR="00EC3D35" w:rsidRPr="00414E1A">
        <w:rPr>
          <w:rFonts w:ascii="Times New Roman" w:hAnsi="Times New Roman" w:cs="Times New Roman"/>
          <w:sz w:val="24"/>
          <w:szCs w:val="24"/>
        </w:rPr>
        <w:t>quindi pare proprio</w:t>
      </w:r>
      <w:r w:rsidRPr="00414E1A">
        <w:rPr>
          <w:rFonts w:ascii="Times New Roman" w:hAnsi="Times New Roman" w:cs="Times New Roman"/>
          <w:sz w:val="24"/>
          <w:szCs w:val="24"/>
        </w:rPr>
        <w:t xml:space="preserve"> che la norma intenda</w:t>
      </w:r>
      <w:r w:rsidR="002A5BC8" w:rsidRPr="00414E1A">
        <w:rPr>
          <w:rFonts w:ascii="Times New Roman" w:hAnsi="Times New Roman" w:cs="Times New Roman"/>
          <w:sz w:val="24"/>
          <w:szCs w:val="24"/>
        </w:rPr>
        <w:t xml:space="preserve"> solo</w:t>
      </w:r>
      <w:r w:rsidRPr="00414E1A">
        <w:rPr>
          <w:rFonts w:ascii="Times New Roman" w:hAnsi="Times New Roman" w:cs="Times New Roman"/>
          <w:sz w:val="24"/>
          <w:szCs w:val="24"/>
        </w:rPr>
        <w:t xml:space="preserve"> estendere il divieto previsto</w:t>
      </w:r>
      <w:r w:rsidR="002A5BC8" w:rsidRPr="00414E1A">
        <w:rPr>
          <w:rFonts w:ascii="Times New Roman" w:hAnsi="Times New Roman" w:cs="Times New Roman"/>
          <w:sz w:val="24"/>
          <w:szCs w:val="24"/>
        </w:rPr>
        <w:t xml:space="preserve"> in generale dall’art.1471 c.c.</w:t>
      </w:r>
      <w:r w:rsidRPr="00414E1A">
        <w:rPr>
          <w:rFonts w:ascii="Times New Roman" w:hAnsi="Times New Roman" w:cs="Times New Roman"/>
          <w:sz w:val="24"/>
          <w:szCs w:val="24"/>
        </w:rPr>
        <w:t xml:space="preserve"> </w:t>
      </w:r>
      <w:r w:rsidR="00BD68BD" w:rsidRPr="00414E1A">
        <w:rPr>
          <w:rFonts w:ascii="Times New Roman" w:hAnsi="Times New Roman" w:cs="Times New Roman"/>
          <w:sz w:val="24"/>
          <w:szCs w:val="24"/>
        </w:rPr>
        <w:t xml:space="preserve">In </w:t>
      </w:r>
      <w:r w:rsidR="002C109D" w:rsidRPr="00414E1A">
        <w:rPr>
          <w:rFonts w:ascii="Times New Roman" w:hAnsi="Times New Roman" w:cs="Times New Roman"/>
          <w:sz w:val="24"/>
          <w:szCs w:val="24"/>
        </w:rPr>
        <w:t xml:space="preserve">ogni caso, </w:t>
      </w:r>
      <w:r w:rsidRPr="00414E1A">
        <w:rPr>
          <w:rFonts w:ascii="Times New Roman" w:hAnsi="Times New Roman" w:cs="Times New Roman"/>
          <w:sz w:val="24"/>
          <w:szCs w:val="24"/>
        </w:rPr>
        <w:t xml:space="preserve">occorrerà lo studio di idonei strumenti giuridici volti ad assicurare da un lato l’efficienza e l’efficacia dei servizi (potendosi sul punto far </w:t>
      </w:r>
      <w:r w:rsidR="002C109D" w:rsidRPr="00414E1A">
        <w:rPr>
          <w:rFonts w:ascii="Times New Roman" w:hAnsi="Times New Roman" w:cs="Times New Roman"/>
          <w:sz w:val="24"/>
          <w:szCs w:val="24"/>
        </w:rPr>
        <w:t>riferimento a</w:t>
      </w:r>
      <w:r w:rsidRPr="00414E1A">
        <w:rPr>
          <w:rFonts w:ascii="Times New Roman" w:hAnsi="Times New Roman" w:cs="Times New Roman"/>
          <w:sz w:val="24"/>
          <w:szCs w:val="24"/>
        </w:rPr>
        <w:t xml:space="preserve">l manuale operativo dei servizi che il gestore deve adottare ai sensi dell’art.10, 3° co., e pubblicare sul sito); dall’altro la trasparenza dell’incarico. </w:t>
      </w:r>
    </w:p>
    <w:p w:rsidR="00BD68BD" w:rsidRPr="00414E1A" w:rsidRDefault="001E1057"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Ora</w:t>
      </w:r>
      <w:r w:rsidR="00522ECE" w:rsidRPr="00414E1A">
        <w:rPr>
          <w:rFonts w:ascii="Times New Roman" w:hAnsi="Times New Roman" w:cs="Times New Roman"/>
          <w:sz w:val="24"/>
          <w:szCs w:val="24"/>
        </w:rPr>
        <w:t xml:space="preserve"> va ricordato che in un recente passato sono stati individuati quali strumenti di selezione (all’epoca dei gestori della pubblicità) la stipulazione di convenzioni che hanno nel tempo consentito l’acquisizione all’Ufficio di una serie di servizi collaterali, come la costruzione di siti dei tribunali o l’utilizzo di personale di rincalzo</w:t>
      </w:r>
      <w:r w:rsidR="00350602" w:rsidRPr="00414E1A">
        <w:rPr>
          <w:rFonts w:ascii="Times New Roman" w:hAnsi="Times New Roman" w:cs="Times New Roman"/>
          <w:sz w:val="24"/>
          <w:szCs w:val="24"/>
        </w:rPr>
        <w:t>. Altre volte si è optato per</w:t>
      </w:r>
      <w:r w:rsidR="00522ECE" w:rsidRPr="00414E1A">
        <w:rPr>
          <w:rFonts w:ascii="Times New Roman" w:hAnsi="Times New Roman" w:cs="Times New Roman"/>
          <w:sz w:val="24"/>
          <w:szCs w:val="24"/>
        </w:rPr>
        <w:t xml:space="preserve"> l’effettuazione di “indagini di mercato” (così come descritte da alcune decisioni del giudice amministrativo,</w:t>
      </w:r>
      <w:r w:rsidR="00350602" w:rsidRPr="00414E1A">
        <w:rPr>
          <w:rFonts w:ascii="Times New Roman" w:hAnsi="Times New Roman" w:cs="Times New Roman"/>
          <w:sz w:val="24"/>
          <w:szCs w:val="24"/>
        </w:rPr>
        <w:t xml:space="preserve"> cfr. TAR Emilia-Romagna 26.2.2015</w:t>
      </w:r>
      <w:r w:rsidR="00EA287B" w:rsidRPr="00414E1A">
        <w:rPr>
          <w:rFonts w:ascii="Times New Roman" w:hAnsi="Times New Roman" w:cs="Times New Roman"/>
          <w:b/>
          <w:sz w:val="24"/>
          <w:szCs w:val="24"/>
        </w:rPr>
        <w:t xml:space="preserve">), </w:t>
      </w:r>
      <w:r w:rsidR="00EA287B" w:rsidRPr="00414E1A">
        <w:rPr>
          <w:rFonts w:ascii="Times New Roman" w:hAnsi="Times New Roman" w:cs="Times New Roman"/>
          <w:sz w:val="24"/>
          <w:szCs w:val="24"/>
        </w:rPr>
        <w:t xml:space="preserve">laddove il tribunale o la sezione </w:t>
      </w:r>
      <w:r w:rsidR="00350602" w:rsidRPr="00414E1A">
        <w:rPr>
          <w:rFonts w:ascii="Times New Roman" w:hAnsi="Times New Roman" w:cs="Times New Roman"/>
          <w:sz w:val="24"/>
          <w:szCs w:val="24"/>
        </w:rPr>
        <w:t xml:space="preserve">abbiano </w:t>
      </w:r>
      <w:r w:rsidR="00EA287B" w:rsidRPr="00414E1A">
        <w:rPr>
          <w:rFonts w:ascii="Times New Roman" w:hAnsi="Times New Roman" w:cs="Times New Roman"/>
          <w:sz w:val="24"/>
          <w:szCs w:val="24"/>
        </w:rPr>
        <w:t xml:space="preserve">deciso </w:t>
      </w:r>
      <w:r w:rsidR="000B7AA2" w:rsidRPr="00414E1A">
        <w:rPr>
          <w:rFonts w:ascii="Times New Roman" w:hAnsi="Times New Roman" w:cs="Times New Roman"/>
          <w:sz w:val="24"/>
          <w:szCs w:val="24"/>
        </w:rPr>
        <w:t xml:space="preserve">di procedere all’acquisizione di informazioni da una serie di soggetti del settore così da determinare </w:t>
      </w:r>
      <w:r w:rsidR="00EA287B" w:rsidRPr="00414E1A">
        <w:rPr>
          <w:rFonts w:ascii="Times New Roman" w:hAnsi="Times New Roman" w:cs="Times New Roman"/>
          <w:sz w:val="24"/>
          <w:szCs w:val="24"/>
        </w:rPr>
        <w:t xml:space="preserve">un livello </w:t>
      </w:r>
      <w:r w:rsidR="000B7AA2" w:rsidRPr="00414E1A">
        <w:rPr>
          <w:rFonts w:ascii="Times New Roman" w:hAnsi="Times New Roman" w:cs="Times New Roman"/>
          <w:sz w:val="24"/>
          <w:szCs w:val="24"/>
        </w:rPr>
        <w:t>minimo</w:t>
      </w:r>
      <w:r w:rsidR="002C109D" w:rsidRPr="00414E1A">
        <w:rPr>
          <w:rFonts w:ascii="Times New Roman" w:hAnsi="Times New Roman" w:cs="Times New Roman"/>
          <w:sz w:val="24"/>
          <w:szCs w:val="24"/>
        </w:rPr>
        <w:t xml:space="preserve"> dei servizi</w:t>
      </w:r>
      <w:r w:rsidR="000B7AA2" w:rsidRPr="00414E1A">
        <w:rPr>
          <w:rFonts w:ascii="Times New Roman" w:hAnsi="Times New Roman" w:cs="Times New Roman"/>
          <w:sz w:val="24"/>
          <w:szCs w:val="24"/>
        </w:rPr>
        <w:t xml:space="preserve"> “</w:t>
      </w:r>
      <w:r w:rsidR="000B7AA2" w:rsidRPr="00414E1A">
        <w:rPr>
          <w:rFonts w:ascii="Times New Roman" w:hAnsi="Times New Roman" w:cs="Times New Roman"/>
          <w:i/>
          <w:sz w:val="24"/>
          <w:szCs w:val="24"/>
        </w:rPr>
        <w:t>ferma restando per il giudice la possibilità di adeguare la pubblicità commerciale al caso concreto</w:t>
      </w:r>
      <w:r w:rsidR="000B7AA2" w:rsidRPr="00414E1A">
        <w:rPr>
          <w:rFonts w:ascii="Times New Roman" w:hAnsi="Times New Roman" w:cs="Times New Roman"/>
          <w:sz w:val="24"/>
          <w:szCs w:val="24"/>
        </w:rPr>
        <w:t>”</w:t>
      </w:r>
      <w:r w:rsidR="002C109D" w:rsidRPr="00414E1A">
        <w:rPr>
          <w:rFonts w:ascii="Times New Roman" w:hAnsi="Times New Roman" w:cs="Times New Roman"/>
          <w:sz w:val="24"/>
          <w:szCs w:val="24"/>
        </w:rPr>
        <w:t xml:space="preserve"> (</w:t>
      </w:r>
      <w:r w:rsidR="00350602" w:rsidRPr="00414E1A">
        <w:rPr>
          <w:rFonts w:ascii="Times New Roman" w:hAnsi="Times New Roman" w:cs="Times New Roman"/>
          <w:sz w:val="24"/>
          <w:szCs w:val="24"/>
        </w:rPr>
        <w:t xml:space="preserve">cfr. delibera art.47 </w:t>
      </w:r>
      <w:r w:rsidR="00350602" w:rsidRPr="00414E1A">
        <w:rPr>
          <w:rFonts w:ascii="Times New Roman" w:hAnsi="Times New Roman" w:cs="Times New Roman"/>
          <w:i/>
          <w:sz w:val="24"/>
          <w:szCs w:val="24"/>
        </w:rPr>
        <w:t>quater</w:t>
      </w:r>
      <w:r w:rsidR="00350602" w:rsidRPr="00414E1A">
        <w:rPr>
          <w:rFonts w:ascii="Times New Roman" w:hAnsi="Times New Roman" w:cs="Times New Roman"/>
          <w:sz w:val="24"/>
          <w:szCs w:val="24"/>
        </w:rPr>
        <w:t xml:space="preserve"> </w:t>
      </w:r>
      <w:proofErr w:type="spellStart"/>
      <w:r w:rsidR="002C109D" w:rsidRPr="00414E1A">
        <w:rPr>
          <w:rFonts w:ascii="Times New Roman" w:hAnsi="Times New Roman" w:cs="Times New Roman"/>
          <w:sz w:val="24"/>
          <w:szCs w:val="24"/>
        </w:rPr>
        <w:t>ord</w:t>
      </w:r>
      <w:proofErr w:type="spellEnd"/>
      <w:r w:rsidR="002C109D" w:rsidRPr="00414E1A">
        <w:rPr>
          <w:rFonts w:ascii="Times New Roman" w:hAnsi="Times New Roman" w:cs="Times New Roman"/>
          <w:sz w:val="24"/>
          <w:szCs w:val="24"/>
        </w:rPr>
        <w:t xml:space="preserve">. </w:t>
      </w:r>
      <w:proofErr w:type="spellStart"/>
      <w:r w:rsidR="002C109D" w:rsidRPr="00414E1A">
        <w:rPr>
          <w:rFonts w:ascii="Times New Roman" w:hAnsi="Times New Roman" w:cs="Times New Roman"/>
          <w:sz w:val="24"/>
          <w:szCs w:val="24"/>
        </w:rPr>
        <w:t>giud</w:t>
      </w:r>
      <w:proofErr w:type="spellEnd"/>
      <w:r w:rsidR="002C109D" w:rsidRPr="00414E1A">
        <w:rPr>
          <w:rFonts w:ascii="Times New Roman" w:hAnsi="Times New Roman" w:cs="Times New Roman"/>
          <w:sz w:val="24"/>
          <w:szCs w:val="24"/>
        </w:rPr>
        <w:t xml:space="preserve">. </w:t>
      </w:r>
      <w:r w:rsidR="00350602" w:rsidRPr="00414E1A">
        <w:rPr>
          <w:rFonts w:ascii="Times New Roman" w:hAnsi="Times New Roman" w:cs="Times New Roman"/>
          <w:sz w:val="24"/>
          <w:szCs w:val="24"/>
        </w:rPr>
        <w:t xml:space="preserve">sez. IV </w:t>
      </w:r>
      <w:proofErr w:type="spellStart"/>
      <w:r w:rsidR="00350602" w:rsidRPr="00414E1A">
        <w:rPr>
          <w:rFonts w:ascii="Times New Roman" w:hAnsi="Times New Roman" w:cs="Times New Roman"/>
          <w:sz w:val="24"/>
          <w:szCs w:val="24"/>
        </w:rPr>
        <w:t>Trib</w:t>
      </w:r>
      <w:proofErr w:type="spellEnd"/>
      <w:r w:rsidR="00350602" w:rsidRPr="00414E1A">
        <w:rPr>
          <w:rFonts w:ascii="Times New Roman" w:hAnsi="Times New Roman" w:cs="Times New Roman"/>
          <w:sz w:val="24"/>
          <w:szCs w:val="24"/>
        </w:rPr>
        <w:t>. Bologna</w:t>
      </w:r>
      <w:r w:rsidR="002C109D" w:rsidRPr="00414E1A">
        <w:rPr>
          <w:rFonts w:ascii="Times New Roman" w:hAnsi="Times New Roman" w:cs="Times New Roman"/>
          <w:sz w:val="24"/>
          <w:szCs w:val="24"/>
        </w:rPr>
        <w:t>)</w:t>
      </w:r>
      <w:r w:rsidRPr="00414E1A">
        <w:rPr>
          <w:rFonts w:ascii="Times New Roman" w:hAnsi="Times New Roman" w:cs="Times New Roman"/>
          <w:sz w:val="24"/>
          <w:szCs w:val="24"/>
        </w:rPr>
        <w:t xml:space="preserve">. </w:t>
      </w:r>
    </w:p>
    <w:p w:rsidR="00522ECE" w:rsidRPr="00414E1A" w:rsidRDefault="00BD68BD"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Con riguardo ai gestori delle vendite</w:t>
      </w:r>
      <w:r w:rsidR="00522ECE" w:rsidRPr="00414E1A">
        <w:rPr>
          <w:rFonts w:ascii="Times New Roman" w:hAnsi="Times New Roman" w:cs="Times New Roman"/>
          <w:sz w:val="24"/>
          <w:szCs w:val="24"/>
        </w:rPr>
        <w:t xml:space="preserve"> </w:t>
      </w:r>
      <w:r w:rsidR="001E1057" w:rsidRPr="00414E1A">
        <w:rPr>
          <w:rFonts w:ascii="Times New Roman" w:hAnsi="Times New Roman" w:cs="Times New Roman"/>
          <w:sz w:val="24"/>
          <w:szCs w:val="24"/>
        </w:rPr>
        <w:t>sussiste</w:t>
      </w:r>
      <w:r w:rsidRPr="00414E1A">
        <w:rPr>
          <w:rFonts w:ascii="Times New Roman" w:hAnsi="Times New Roman" w:cs="Times New Roman"/>
          <w:sz w:val="24"/>
          <w:szCs w:val="24"/>
        </w:rPr>
        <w:t xml:space="preserve"> ora</w:t>
      </w:r>
      <w:r w:rsidR="001E1057" w:rsidRPr="00414E1A">
        <w:rPr>
          <w:rFonts w:ascii="Times New Roman" w:hAnsi="Times New Roman" w:cs="Times New Roman"/>
          <w:sz w:val="24"/>
          <w:szCs w:val="24"/>
        </w:rPr>
        <w:t xml:space="preserve"> la </w:t>
      </w:r>
      <w:r w:rsidR="00522ECE" w:rsidRPr="00414E1A">
        <w:rPr>
          <w:rFonts w:ascii="Times New Roman" w:hAnsi="Times New Roman" w:cs="Times New Roman"/>
          <w:sz w:val="24"/>
          <w:szCs w:val="24"/>
        </w:rPr>
        <w:t>questione circa la necessità di applicazione di strumenti di negoziazione ad evidenza pubblica adeguati alla disciplina del codice dei contratti pubblici</w:t>
      </w:r>
      <w:r w:rsidRPr="00414E1A">
        <w:rPr>
          <w:rFonts w:ascii="Times New Roman" w:hAnsi="Times New Roman" w:cs="Times New Roman"/>
          <w:sz w:val="24"/>
          <w:szCs w:val="24"/>
        </w:rPr>
        <w:t xml:space="preserve">, </w:t>
      </w:r>
      <w:r w:rsidR="000B7AA2" w:rsidRPr="00414E1A">
        <w:rPr>
          <w:rFonts w:ascii="Times New Roman" w:hAnsi="Times New Roman" w:cs="Times New Roman"/>
          <w:sz w:val="24"/>
          <w:szCs w:val="24"/>
        </w:rPr>
        <w:t xml:space="preserve">ritenuta sempre dal </w:t>
      </w:r>
      <w:proofErr w:type="spellStart"/>
      <w:r w:rsidR="000B7AA2" w:rsidRPr="00414E1A">
        <w:rPr>
          <w:rFonts w:ascii="Times New Roman" w:hAnsi="Times New Roman" w:cs="Times New Roman"/>
          <w:sz w:val="24"/>
          <w:szCs w:val="24"/>
        </w:rPr>
        <w:t>g.a</w:t>
      </w:r>
      <w:proofErr w:type="spellEnd"/>
      <w:r w:rsidR="000B7AA2" w:rsidRPr="00414E1A">
        <w:rPr>
          <w:rFonts w:ascii="Times New Roman" w:hAnsi="Times New Roman" w:cs="Times New Roman"/>
          <w:sz w:val="24"/>
          <w:szCs w:val="24"/>
        </w:rPr>
        <w:t>. applicabile</w:t>
      </w:r>
      <w:r w:rsidR="00AC55A2" w:rsidRPr="00414E1A">
        <w:rPr>
          <w:rFonts w:ascii="Times New Roman" w:hAnsi="Times New Roman" w:cs="Times New Roman"/>
          <w:sz w:val="24"/>
          <w:szCs w:val="24"/>
        </w:rPr>
        <w:t xml:space="preserve"> (con riguardo ai gestori della pubblicità)</w:t>
      </w:r>
      <w:r w:rsidR="00F636F3" w:rsidRPr="00414E1A">
        <w:rPr>
          <w:rFonts w:ascii="Times New Roman" w:hAnsi="Times New Roman" w:cs="Times New Roman"/>
          <w:sz w:val="24"/>
          <w:szCs w:val="24"/>
        </w:rPr>
        <w:t>, intanto perché che in varie occasioni</w:t>
      </w:r>
      <w:r w:rsidR="002C109D" w:rsidRPr="00414E1A">
        <w:rPr>
          <w:rFonts w:ascii="Times New Roman" w:hAnsi="Times New Roman" w:cs="Times New Roman"/>
          <w:sz w:val="24"/>
          <w:szCs w:val="24"/>
        </w:rPr>
        <w:t xml:space="preserve"> lo stesso</w:t>
      </w:r>
      <w:r w:rsidR="00F636F3" w:rsidRPr="00414E1A">
        <w:rPr>
          <w:rFonts w:ascii="Times New Roman" w:hAnsi="Times New Roman" w:cs="Times New Roman"/>
          <w:sz w:val="24"/>
          <w:szCs w:val="24"/>
        </w:rPr>
        <w:t xml:space="preserve"> ha equiparato il Tribunale a questi fini ad un organo straordinario  </w:t>
      </w:r>
      <w:r w:rsidR="00F636F3" w:rsidRPr="00414E1A">
        <w:rPr>
          <w:rFonts w:ascii="Times New Roman" w:hAnsi="Times New Roman" w:cs="Times New Roman"/>
          <w:sz w:val="24"/>
          <w:szCs w:val="24"/>
        </w:rPr>
        <w:lastRenderedPageBreak/>
        <w:t xml:space="preserve">amministrativo, </w:t>
      </w:r>
      <w:proofErr w:type="spellStart"/>
      <w:r w:rsidR="00F636F3" w:rsidRPr="00414E1A">
        <w:rPr>
          <w:rFonts w:ascii="Times New Roman" w:hAnsi="Times New Roman" w:cs="Times New Roman"/>
          <w:sz w:val="24"/>
          <w:szCs w:val="24"/>
        </w:rPr>
        <w:t>CdS</w:t>
      </w:r>
      <w:proofErr w:type="spellEnd"/>
      <w:r w:rsidR="00F636F3" w:rsidRPr="00414E1A">
        <w:rPr>
          <w:rFonts w:ascii="Times New Roman" w:hAnsi="Times New Roman" w:cs="Times New Roman"/>
          <w:sz w:val="24"/>
          <w:szCs w:val="24"/>
        </w:rPr>
        <w:t xml:space="preserve"> n.4140/13; quindi</w:t>
      </w:r>
      <w:r w:rsidR="000B7AA2" w:rsidRPr="00414E1A">
        <w:rPr>
          <w:rFonts w:ascii="Times New Roman" w:hAnsi="Times New Roman" w:cs="Times New Roman"/>
          <w:sz w:val="24"/>
          <w:szCs w:val="24"/>
        </w:rPr>
        <w:t xml:space="preserve"> in quanto </w:t>
      </w:r>
      <w:r w:rsidR="00EA287B" w:rsidRPr="00414E1A">
        <w:rPr>
          <w:rFonts w:ascii="Times New Roman" w:hAnsi="Times New Roman" w:cs="Times New Roman"/>
          <w:sz w:val="24"/>
          <w:szCs w:val="24"/>
        </w:rPr>
        <w:t xml:space="preserve"> sussisterebbe un </w:t>
      </w:r>
      <w:r w:rsidR="000B7AA2" w:rsidRPr="00414E1A">
        <w:rPr>
          <w:rFonts w:ascii="Times New Roman" w:hAnsi="Times New Roman" w:cs="Times New Roman"/>
          <w:sz w:val="24"/>
          <w:szCs w:val="24"/>
        </w:rPr>
        <w:t xml:space="preserve">collegamento con la funzione pubblica; </w:t>
      </w:r>
      <w:r w:rsidR="00EA287B" w:rsidRPr="00414E1A">
        <w:rPr>
          <w:rFonts w:ascii="Times New Roman" w:hAnsi="Times New Roman" w:cs="Times New Roman"/>
          <w:sz w:val="24"/>
          <w:szCs w:val="24"/>
        </w:rPr>
        <w:t xml:space="preserve">i </w:t>
      </w:r>
      <w:r w:rsidR="000B7AA2" w:rsidRPr="00414E1A">
        <w:rPr>
          <w:rFonts w:ascii="Times New Roman" w:hAnsi="Times New Roman" w:cs="Times New Roman"/>
          <w:sz w:val="24"/>
          <w:szCs w:val="24"/>
        </w:rPr>
        <w:t xml:space="preserve">destinatari delle prestazioni </w:t>
      </w:r>
      <w:r w:rsidR="00EA287B" w:rsidRPr="00414E1A">
        <w:rPr>
          <w:rFonts w:ascii="Times New Roman" w:hAnsi="Times New Roman" w:cs="Times New Roman"/>
          <w:sz w:val="24"/>
          <w:szCs w:val="24"/>
        </w:rPr>
        <w:t>s</w:t>
      </w:r>
      <w:r w:rsidR="00F636F3" w:rsidRPr="00414E1A">
        <w:rPr>
          <w:rFonts w:ascii="Times New Roman" w:hAnsi="Times New Roman" w:cs="Times New Roman"/>
          <w:sz w:val="24"/>
          <w:szCs w:val="24"/>
        </w:rPr>
        <w:t>arebbero</w:t>
      </w:r>
      <w:r w:rsidR="00EA287B" w:rsidRPr="00414E1A">
        <w:rPr>
          <w:rFonts w:ascii="Times New Roman" w:hAnsi="Times New Roman" w:cs="Times New Roman"/>
          <w:sz w:val="24"/>
          <w:szCs w:val="24"/>
        </w:rPr>
        <w:t xml:space="preserve"> </w:t>
      </w:r>
      <w:r w:rsidR="000B7AA2" w:rsidRPr="00414E1A">
        <w:rPr>
          <w:rFonts w:ascii="Times New Roman" w:hAnsi="Times New Roman" w:cs="Times New Roman"/>
          <w:sz w:val="24"/>
          <w:szCs w:val="24"/>
        </w:rPr>
        <w:t xml:space="preserve">diversi dall’autorità che stipula il contratto; </w:t>
      </w:r>
      <w:r w:rsidR="00EA287B" w:rsidRPr="00414E1A">
        <w:rPr>
          <w:rFonts w:ascii="Times New Roman" w:hAnsi="Times New Roman" w:cs="Times New Roman"/>
          <w:sz w:val="24"/>
          <w:szCs w:val="24"/>
        </w:rPr>
        <w:t xml:space="preserve">sussisterebbe </w:t>
      </w:r>
      <w:r w:rsidR="00F636F3" w:rsidRPr="00414E1A">
        <w:rPr>
          <w:rFonts w:ascii="Times New Roman" w:hAnsi="Times New Roman" w:cs="Times New Roman"/>
          <w:sz w:val="24"/>
          <w:szCs w:val="24"/>
        </w:rPr>
        <w:t xml:space="preserve">infine </w:t>
      </w:r>
      <w:r w:rsidR="00EA287B" w:rsidRPr="00414E1A">
        <w:rPr>
          <w:rFonts w:ascii="Times New Roman" w:hAnsi="Times New Roman" w:cs="Times New Roman"/>
          <w:sz w:val="24"/>
          <w:szCs w:val="24"/>
        </w:rPr>
        <w:t xml:space="preserve">il </w:t>
      </w:r>
      <w:r w:rsidR="000B7AA2" w:rsidRPr="00414E1A">
        <w:rPr>
          <w:rFonts w:ascii="Times New Roman" w:hAnsi="Times New Roman" w:cs="Times New Roman"/>
          <w:sz w:val="24"/>
          <w:szCs w:val="24"/>
        </w:rPr>
        <w:t>rischio di gestione sull’aggiudicatario</w:t>
      </w:r>
      <w:r w:rsidR="00F636F3" w:rsidRPr="00414E1A">
        <w:rPr>
          <w:rFonts w:ascii="Times New Roman" w:hAnsi="Times New Roman" w:cs="Times New Roman"/>
          <w:sz w:val="24"/>
          <w:szCs w:val="24"/>
        </w:rPr>
        <w:t>, posto che</w:t>
      </w:r>
      <w:r w:rsidR="000B7AA2" w:rsidRPr="00414E1A">
        <w:rPr>
          <w:rFonts w:ascii="Times New Roman" w:hAnsi="Times New Roman" w:cs="Times New Roman"/>
          <w:sz w:val="24"/>
          <w:szCs w:val="24"/>
        </w:rPr>
        <w:t xml:space="preserve"> la remunerazione delle prestazioni </w:t>
      </w:r>
      <w:r w:rsidR="00EA287B" w:rsidRPr="00414E1A">
        <w:rPr>
          <w:rFonts w:ascii="Times New Roman" w:hAnsi="Times New Roman" w:cs="Times New Roman"/>
          <w:sz w:val="24"/>
          <w:szCs w:val="24"/>
        </w:rPr>
        <w:t>e dei servizi che abbiamo detto collaterali</w:t>
      </w:r>
      <w:r w:rsidR="000B7AA2" w:rsidRPr="00414E1A">
        <w:rPr>
          <w:rFonts w:ascii="Times New Roman" w:hAnsi="Times New Roman" w:cs="Times New Roman"/>
          <w:sz w:val="24"/>
          <w:szCs w:val="24"/>
        </w:rPr>
        <w:t xml:space="preserve"> dipende</w:t>
      </w:r>
      <w:r w:rsidR="00EA287B" w:rsidRPr="00414E1A">
        <w:rPr>
          <w:rFonts w:ascii="Times New Roman" w:hAnsi="Times New Roman" w:cs="Times New Roman"/>
          <w:sz w:val="24"/>
          <w:szCs w:val="24"/>
        </w:rPr>
        <w:t xml:space="preserve"> in tali casi</w:t>
      </w:r>
      <w:r w:rsidR="000B7AA2" w:rsidRPr="00414E1A">
        <w:rPr>
          <w:rFonts w:ascii="Times New Roman" w:hAnsi="Times New Roman" w:cs="Times New Roman"/>
          <w:sz w:val="24"/>
          <w:szCs w:val="24"/>
        </w:rPr>
        <w:t xml:space="preserve"> dalla nomina per la pubblicità </w:t>
      </w:r>
      <w:r w:rsidR="00EA287B" w:rsidRPr="00414E1A">
        <w:rPr>
          <w:rFonts w:ascii="Times New Roman" w:hAnsi="Times New Roman" w:cs="Times New Roman"/>
          <w:sz w:val="24"/>
          <w:szCs w:val="24"/>
        </w:rPr>
        <w:t>nelle singole procedure</w:t>
      </w:r>
      <w:r w:rsidR="000B7AA2" w:rsidRPr="00414E1A">
        <w:rPr>
          <w:rFonts w:ascii="Times New Roman" w:hAnsi="Times New Roman" w:cs="Times New Roman"/>
          <w:sz w:val="24"/>
          <w:szCs w:val="24"/>
        </w:rPr>
        <w:t>, dal numero d</w:t>
      </w:r>
      <w:r w:rsidR="00EA287B" w:rsidRPr="00414E1A">
        <w:rPr>
          <w:rFonts w:ascii="Times New Roman" w:hAnsi="Times New Roman" w:cs="Times New Roman"/>
          <w:sz w:val="24"/>
          <w:szCs w:val="24"/>
        </w:rPr>
        <w:t>i queste</w:t>
      </w:r>
      <w:r w:rsidR="000B7AA2" w:rsidRPr="00414E1A">
        <w:rPr>
          <w:rFonts w:ascii="Times New Roman" w:hAnsi="Times New Roman" w:cs="Times New Roman"/>
          <w:sz w:val="24"/>
          <w:szCs w:val="24"/>
        </w:rPr>
        <w:t xml:space="preserve"> e dall’adempimento delle parti onerate</w:t>
      </w:r>
      <w:r w:rsidR="00F636F3" w:rsidRPr="00414E1A">
        <w:rPr>
          <w:rFonts w:ascii="Times New Roman" w:hAnsi="Times New Roman" w:cs="Times New Roman"/>
          <w:sz w:val="24"/>
          <w:szCs w:val="24"/>
        </w:rPr>
        <w:t xml:space="preserve">. </w:t>
      </w:r>
      <w:r w:rsidR="001E1057" w:rsidRPr="00414E1A">
        <w:rPr>
          <w:rFonts w:ascii="Times New Roman" w:hAnsi="Times New Roman" w:cs="Times New Roman"/>
          <w:sz w:val="24"/>
          <w:szCs w:val="24"/>
        </w:rPr>
        <w:t>Nell’imminenza dell’entrata a regime della vendita telematica si è sentita l’esigenza di una disciplina a livello quantomeno ministeriale</w:t>
      </w:r>
      <w:r w:rsidR="00522ECE" w:rsidRPr="00414E1A">
        <w:rPr>
          <w:rFonts w:ascii="Times New Roman" w:hAnsi="Times New Roman" w:cs="Times New Roman"/>
          <w:sz w:val="24"/>
          <w:szCs w:val="24"/>
        </w:rPr>
        <w:t xml:space="preserve"> (auspicabile</w:t>
      </w:r>
      <w:r w:rsidR="00EA287B" w:rsidRPr="00414E1A">
        <w:rPr>
          <w:rFonts w:ascii="Times New Roman" w:hAnsi="Times New Roman" w:cs="Times New Roman"/>
          <w:sz w:val="24"/>
          <w:szCs w:val="24"/>
        </w:rPr>
        <w:t xml:space="preserve"> se si parte dal presupposto della necessità di tale modulo contrattuale,</w:t>
      </w:r>
      <w:r w:rsidR="00522ECE" w:rsidRPr="00414E1A">
        <w:rPr>
          <w:rFonts w:ascii="Times New Roman" w:hAnsi="Times New Roman" w:cs="Times New Roman"/>
          <w:sz w:val="24"/>
          <w:szCs w:val="24"/>
        </w:rPr>
        <w:t xml:space="preserve"> per non esporre gli Uffici alle incertezze insite in un bando i cui criteri base non siano in qualche misura previsti)</w:t>
      </w:r>
      <w:r w:rsidR="00F636F3" w:rsidRPr="00414E1A">
        <w:rPr>
          <w:rFonts w:ascii="Times New Roman" w:hAnsi="Times New Roman" w:cs="Times New Roman"/>
          <w:sz w:val="24"/>
          <w:szCs w:val="24"/>
        </w:rPr>
        <w:t xml:space="preserve">  tale da garantire l’uniformità</w:t>
      </w:r>
      <w:r w:rsidRPr="00414E1A">
        <w:rPr>
          <w:rFonts w:ascii="Times New Roman" w:hAnsi="Times New Roman" w:cs="Times New Roman"/>
          <w:sz w:val="24"/>
          <w:szCs w:val="24"/>
        </w:rPr>
        <w:t xml:space="preserve"> dei rapporti </w:t>
      </w:r>
      <w:proofErr w:type="spellStart"/>
      <w:r w:rsidRPr="00414E1A">
        <w:rPr>
          <w:rFonts w:ascii="Times New Roman" w:hAnsi="Times New Roman" w:cs="Times New Roman"/>
          <w:sz w:val="24"/>
          <w:szCs w:val="24"/>
        </w:rPr>
        <w:t>instaurandi</w:t>
      </w:r>
      <w:proofErr w:type="spellEnd"/>
      <w:r w:rsidRPr="00414E1A">
        <w:rPr>
          <w:rFonts w:ascii="Times New Roman" w:hAnsi="Times New Roman" w:cs="Times New Roman"/>
          <w:sz w:val="24"/>
          <w:szCs w:val="24"/>
        </w:rPr>
        <w:t xml:space="preserve"> </w:t>
      </w:r>
      <w:r w:rsidR="00F636F3" w:rsidRPr="00414E1A">
        <w:rPr>
          <w:rFonts w:ascii="Times New Roman" w:hAnsi="Times New Roman" w:cs="Times New Roman"/>
          <w:sz w:val="24"/>
          <w:szCs w:val="24"/>
        </w:rPr>
        <w:t xml:space="preserve"> e</w:t>
      </w:r>
      <w:r w:rsidR="00522ECE" w:rsidRPr="00414E1A">
        <w:rPr>
          <w:rFonts w:ascii="Times New Roman" w:hAnsi="Times New Roman" w:cs="Times New Roman"/>
          <w:sz w:val="24"/>
          <w:szCs w:val="24"/>
        </w:rPr>
        <w:t xml:space="preserve"> la giusta valorizzazione anche all’elemento dei servi</w:t>
      </w:r>
      <w:r w:rsidR="00AF3AB2" w:rsidRPr="00414E1A">
        <w:rPr>
          <w:rFonts w:ascii="Times New Roman" w:hAnsi="Times New Roman" w:cs="Times New Roman"/>
          <w:sz w:val="24"/>
          <w:szCs w:val="24"/>
        </w:rPr>
        <w:t xml:space="preserve">zi collaterali di cui s’è detto. </w:t>
      </w:r>
      <w:r w:rsidR="00693033">
        <w:rPr>
          <w:rFonts w:ascii="Times New Roman" w:hAnsi="Times New Roman" w:cs="Times New Roman"/>
          <w:sz w:val="24"/>
          <w:szCs w:val="24"/>
        </w:rPr>
        <w:t>Nell’ambito dell</w:t>
      </w:r>
      <w:r w:rsidR="00AF3AB2" w:rsidRPr="00414E1A">
        <w:rPr>
          <w:rFonts w:ascii="Times New Roman" w:hAnsi="Times New Roman" w:cs="Times New Roman"/>
          <w:sz w:val="24"/>
          <w:szCs w:val="24"/>
        </w:rPr>
        <w:t>e cd “Linee Guida” in materia di processo esecutivo pubblicate dal CSM li 11.10.2017, al § 21,</w:t>
      </w:r>
      <w:r w:rsidR="00693033">
        <w:rPr>
          <w:rFonts w:ascii="Times New Roman" w:hAnsi="Times New Roman" w:cs="Times New Roman"/>
          <w:sz w:val="24"/>
          <w:szCs w:val="24"/>
        </w:rPr>
        <w:t xml:space="preserve"> si è poi</w:t>
      </w:r>
      <w:r w:rsidR="00AF3AB2" w:rsidRPr="00414E1A">
        <w:rPr>
          <w:rFonts w:ascii="Times New Roman" w:hAnsi="Times New Roman" w:cs="Times New Roman"/>
          <w:sz w:val="24"/>
          <w:szCs w:val="24"/>
        </w:rPr>
        <w:t xml:space="preserve"> auspicato che il Comitato Paritetico CSM-Ministero della Giustizia proponga le modalità di individuazione del gestore della pubblicità e della vendita che vengano quindi trasfuse in una norma </w:t>
      </w:r>
      <w:r w:rsidR="00414E1A">
        <w:rPr>
          <w:rFonts w:ascii="Times New Roman" w:hAnsi="Times New Roman" w:cs="Times New Roman"/>
          <w:sz w:val="24"/>
          <w:szCs w:val="24"/>
        </w:rPr>
        <w:t xml:space="preserve">addirittura </w:t>
      </w:r>
      <w:r w:rsidR="00AF3AB2" w:rsidRPr="00414E1A">
        <w:rPr>
          <w:rFonts w:ascii="Times New Roman" w:hAnsi="Times New Roman" w:cs="Times New Roman"/>
          <w:sz w:val="24"/>
          <w:szCs w:val="24"/>
        </w:rPr>
        <w:t>di rango primario</w:t>
      </w:r>
      <w:r w:rsidR="00522ECE" w:rsidRPr="00414E1A">
        <w:rPr>
          <w:rFonts w:ascii="Times New Roman" w:hAnsi="Times New Roman" w:cs="Times New Roman"/>
          <w:sz w:val="24"/>
          <w:szCs w:val="24"/>
        </w:rPr>
        <w:t xml:space="preserve">  </w:t>
      </w:r>
    </w:p>
    <w:p w:rsidR="001E1057" w:rsidRPr="00414E1A" w:rsidRDefault="00AF3AB2"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Nel frattempo peraltro è</w:t>
      </w:r>
      <w:r w:rsidR="001E1057" w:rsidRPr="00414E1A">
        <w:rPr>
          <w:rFonts w:ascii="Times New Roman" w:hAnsi="Times New Roman" w:cs="Times New Roman"/>
          <w:sz w:val="24"/>
          <w:szCs w:val="24"/>
        </w:rPr>
        <w:t xml:space="preserve"> sovvenuta una circolare del Dipartimento dell’Organizzazione Giudiziaria, del Personale e dei Servizi, in data 13.10.2017, disciplinante le convenzioni stipulate con soggetti “diversi” (cioè non costituenti pubbliche amministrazioni).</w:t>
      </w:r>
    </w:p>
    <w:p w:rsidR="001E1057" w:rsidRPr="00414E1A" w:rsidRDefault="001E1057"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Tale circolare anzitutto riconosce lo strumento della convenzione per l’ottenimento di servizi vari, quali digitalizzazione del patrimonio documentale, istituzione punti informativi, messa a disposizione di risorse umane, gestione e hosting di siti internet e portali web, servizi pubblicitari di vendite, supporto al processo telematico</w:t>
      </w:r>
      <w:r w:rsidR="00E8431B" w:rsidRPr="00414E1A">
        <w:rPr>
          <w:rFonts w:ascii="Times New Roman" w:hAnsi="Times New Roman" w:cs="Times New Roman"/>
          <w:sz w:val="24"/>
          <w:szCs w:val="24"/>
        </w:rPr>
        <w:t>, fornitura o realizzazione di software complementari a quelli ministeriali, che son proprio i servizi collaterali cui s’è fatto cenno sopra.</w:t>
      </w:r>
    </w:p>
    <w:p w:rsidR="00AC55A2" w:rsidRPr="00414E1A" w:rsidRDefault="00B53456"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 xml:space="preserve">Sebbene </w:t>
      </w:r>
      <w:r w:rsidR="00560C32" w:rsidRPr="00414E1A">
        <w:rPr>
          <w:rFonts w:ascii="Times New Roman" w:hAnsi="Times New Roman" w:cs="Times New Roman"/>
          <w:sz w:val="24"/>
          <w:szCs w:val="24"/>
        </w:rPr>
        <w:t xml:space="preserve">la </w:t>
      </w:r>
      <w:r w:rsidR="00BD68BD" w:rsidRPr="00414E1A">
        <w:rPr>
          <w:rFonts w:ascii="Times New Roman" w:hAnsi="Times New Roman" w:cs="Times New Roman"/>
          <w:sz w:val="24"/>
          <w:szCs w:val="24"/>
        </w:rPr>
        <w:t>stessa</w:t>
      </w:r>
      <w:r w:rsidR="00560C32" w:rsidRPr="00414E1A">
        <w:rPr>
          <w:rFonts w:ascii="Times New Roman" w:hAnsi="Times New Roman" w:cs="Times New Roman"/>
          <w:sz w:val="24"/>
          <w:szCs w:val="24"/>
        </w:rPr>
        <w:t xml:space="preserve"> </w:t>
      </w:r>
      <w:r w:rsidRPr="00414E1A">
        <w:rPr>
          <w:rFonts w:ascii="Times New Roman" w:hAnsi="Times New Roman" w:cs="Times New Roman"/>
          <w:sz w:val="24"/>
          <w:szCs w:val="24"/>
        </w:rPr>
        <w:t>non preveda espressamente l’ipotesi</w:t>
      </w:r>
      <w:r w:rsidR="002B1419" w:rsidRPr="00414E1A">
        <w:rPr>
          <w:rFonts w:ascii="Times New Roman" w:hAnsi="Times New Roman" w:cs="Times New Roman"/>
          <w:sz w:val="24"/>
          <w:szCs w:val="24"/>
        </w:rPr>
        <w:t xml:space="preserve"> dei servizi connessi alla figura</w:t>
      </w:r>
      <w:r w:rsidRPr="00414E1A">
        <w:rPr>
          <w:rFonts w:ascii="Times New Roman" w:hAnsi="Times New Roman" w:cs="Times New Roman"/>
          <w:sz w:val="24"/>
          <w:szCs w:val="24"/>
        </w:rPr>
        <w:t xml:space="preserve"> del gestore della vendita, la generalità della previsione porta a ritenere che anche questo possa rientrare tra i soggetti co</w:t>
      </w:r>
      <w:r w:rsidR="002B1419" w:rsidRPr="00414E1A">
        <w:rPr>
          <w:rFonts w:ascii="Times New Roman" w:hAnsi="Times New Roman" w:cs="Times New Roman"/>
          <w:sz w:val="24"/>
          <w:szCs w:val="24"/>
        </w:rPr>
        <w:t xml:space="preserve">n cui stipulare la convenzione, </w:t>
      </w:r>
      <w:r w:rsidRPr="00414E1A">
        <w:rPr>
          <w:rFonts w:ascii="Times New Roman" w:hAnsi="Times New Roman" w:cs="Times New Roman"/>
          <w:sz w:val="24"/>
          <w:szCs w:val="24"/>
        </w:rPr>
        <w:t>considerando</w:t>
      </w:r>
      <w:r w:rsidR="00AC55A2" w:rsidRPr="00414E1A">
        <w:rPr>
          <w:rFonts w:ascii="Times New Roman" w:hAnsi="Times New Roman" w:cs="Times New Roman"/>
          <w:sz w:val="24"/>
          <w:szCs w:val="24"/>
        </w:rPr>
        <w:t xml:space="preserve"> i</w:t>
      </w:r>
      <w:r w:rsidR="00BD68BD" w:rsidRPr="00414E1A">
        <w:rPr>
          <w:rFonts w:ascii="Times New Roman" w:hAnsi="Times New Roman" w:cs="Times New Roman"/>
          <w:sz w:val="24"/>
          <w:szCs w:val="24"/>
        </w:rPr>
        <w:t xml:space="preserve">n particolare </w:t>
      </w:r>
      <w:r w:rsidRPr="00414E1A">
        <w:rPr>
          <w:rFonts w:ascii="Times New Roman" w:hAnsi="Times New Roman" w:cs="Times New Roman"/>
          <w:sz w:val="24"/>
          <w:szCs w:val="24"/>
        </w:rPr>
        <w:t xml:space="preserve">che si tratta di un soggetto di natura imprenditoriale e non professionistico, come nel caso di delegati o custodi, e quindi estraneo alla regola della c.d. </w:t>
      </w:r>
      <w:r w:rsidR="0046525C" w:rsidRPr="00414E1A">
        <w:rPr>
          <w:rFonts w:ascii="Times New Roman" w:hAnsi="Times New Roman" w:cs="Times New Roman"/>
          <w:sz w:val="24"/>
          <w:szCs w:val="24"/>
        </w:rPr>
        <w:t xml:space="preserve">rotazione degli incarichi </w:t>
      </w:r>
      <w:r w:rsidR="002B1419" w:rsidRPr="00414E1A">
        <w:rPr>
          <w:rFonts w:ascii="Times New Roman" w:hAnsi="Times New Roman" w:cs="Times New Roman"/>
          <w:sz w:val="24"/>
          <w:szCs w:val="24"/>
        </w:rPr>
        <w:t>(art</w:t>
      </w:r>
      <w:r w:rsidR="0046525C" w:rsidRPr="00414E1A">
        <w:rPr>
          <w:rFonts w:ascii="Times New Roman" w:hAnsi="Times New Roman" w:cs="Times New Roman"/>
          <w:sz w:val="24"/>
          <w:szCs w:val="24"/>
        </w:rPr>
        <w:t>t</w:t>
      </w:r>
      <w:r w:rsidR="002B1419" w:rsidRPr="00414E1A">
        <w:rPr>
          <w:rFonts w:ascii="Times New Roman" w:hAnsi="Times New Roman" w:cs="Times New Roman"/>
          <w:sz w:val="24"/>
          <w:szCs w:val="24"/>
        </w:rPr>
        <w:t>.</w:t>
      </w:r>
      <w:r w:rsidR="0046525C" w:rsidRPr="00414E1A">
        <w:rPr>
          <w:rFonts w:ascii="Times New Roman" w:hAnsi="Times New Roman" w:cs="Times New Roman"/>
          <w:sz w:val="24"/>
          <w:szCs w:val="24"/>
        </w:rPr>
        <w:t xml:space="preserve"> 23 e </w:t>
      </w:r>
      <w:r w:rsidR="002B1419" w:rsidRPr="00414E1A">
        <w:rPr>
          <w:rFonts w:ascii="Times New Roman" w:hAnsi="Times New Roman" w:cs="Times New Roman"/>
          <w:sz w:val="24"/>
          <w:szCs w:val="24"/>
        </w:rPr>
        <w:t>17</w:t>
      </w:r>
      <w:r w:rsidR="0046525C" w:rsidRPr="00414E1A">
        <w:rPr>
          <w:rFonts w:ascii="Times New Roman" w:hAnsi="Times New Roman" w:cs="Times New Roman"/>
          <w:sz w:val="24"/>
          <w:szCs w:val="24"/>
        </w:rPr>
        <w:t xml:space="preserve">9 </w:t>
      </w:r>
      <w:r w:rsidR="0046525C" w:rsidRPr="00414E1A">
        <w:rPr>
          <w:rFonts w:ascii="Times New Roman" w:hAnsi="Times New Roman" w:cs="Times New Roman"/>
          <w:i/>
          <w:sz w:val="24"/>
          <w:szCs w:val="24"/>
        </w:rPr>
        <w:t xml:space="preserve">quater </w:t>
      </w:r>
      <w:proofErr w:type="spellStart"/>
      <w:r w:rsidR="0046525C" w:rsidRPr="00414E1A">
        <w:rPr>
          <w:rFonts w:ascii="Times New Roman" w:hAnsi="Times New Roman" w:cs="Times New Roman"/>
          <w:sz w:val="24"/>
          <w:szCs w:val="24"/>
        </w:rPr>
        <w:t>disp</w:t>
      </w:r>
      <w:proofErr w:type="spellEnd"/>
      <w:r w:rsidR="0046525C" w:rsidRPr="00414E1A">
        <w:rPr>
          <w:rFonts w:ascii="Times New Roman" w:hAnsi="Times New Roman" w:cs="Times New Roman"/>
          <w:sz w:val="24"/>
          <w:szCs w:val="24"/>
        </w:rPr>
        <w:t xml:space="preserve">. </w:t>
      </w:r>
      <w:proofErr w:type="spellStart"/>
      <w:r w:rsidR="0046525C" w:rsidRPr="00414E1A">
        <w:rPr>
          <w:rFonts w:ascii="Times New Roman" w:hAnsi="Times New Roman" w:cs="Times New Roman"/>
          <w:sz w:val="24"/>
          <w:szCs w:val="24"/>
        </w:rPr>
        <w:t>att</w:t>
      </w:r>
      <w:proofErr w:type="spellEnd"/>
      <w:r w:rsidR="0046525C" w:rsidRPr="00414E1A">
        <w:rPr>
          <w:rFonts w:ascii="Times New Roman" w:hAnsi="Times New Roman" w:cs="Times New Roman"/>
          <w:sz w:val="24"/>
          <w:szCs w:val="24"/>
        </w:rPr>
        <w:t xml:space="preserve">. </w:t>
      </w:r>
      <w:proofErr w:type="spellStart"/>
      <w:r w:rsidR="0046525C" w:rsidRPr="00414E1A">
        <w:rPr>
          <w:rFonts w:ascii="Times New Roman" w:hAnsi="Times New Roman" w:cs="Times New Roman"/>
          <w:sz w:val="24"/>
          <w:szCs w:val="24"/>
        </w:rPr>
        <w:t>cpc</w:t>
      </w:r>
      <w:proofErr w:type="spellEnd"/>
      <w:r w:rsidR="00BD68BD" w:rsidRPr="00414E1A">
        <w:rPr>
          <w:rFonts w:ascii="Times New Roman" w:hAnsi="Times New Roman" w:cs="Times New Roman"/>
          <w:sz w:val="24"/>
          <w:szCs w:val="24"/>
        </w:rPr>
        <w:t>;)</w:t>
      </w:r>
      <w:r w:rsidR="002B1419" w:rsidRPr="00414E1A">
        <w:rPr>
          <w:rFonts w:ascii="Times New Roman" w:hAnsi="Times New Roman" w:cs="Times New Roman"/>
          <w:sz w:val="24"/>
          <w:szCs w:val="24"/>
        </w:rPr>
        <w:t xml:space="preserve">, e per il quale </w:t>
      </w:r>
      <w:r w:rsidR="0046525C" w:rsidRPr="00414E1A">
        <w:rPr>
          <w:rFonts w:ascii="Times New Roman" w:hAnsi="Times New Roman" w:cs="Times New Roman"/>
          <w:sz w:val="24"/>
          <w:szCs w:val="24"/>
        </w:rPr>
        <w:t>invece</w:t>
      </w:r>
      <w:r w:rsidR="002B1419" w:rsidRPr="00414E1A">
        <w:rPr>
          <w:rFonts w:ascii="Times New Roman" w:hAnsi="Times New Roman" w:cs="Times New Roman"/>
          <w:sz w:val="24"/>
          <w:szCs w:val="24"/>
        </w:rPr>
        <w:t>, conformemente alla disciplina dei contratti pubblici</w:t>
      </w:r>
      <w:r w:rsidR="0046525C" w:rsidRPr="00414E1A">
        <w:rPr>
          <w:rFonts w:ascii="Times New Roman" w:hAnsi="Times New Roman" w:cs="Times New Roman"/>
          <w:sz w:val="24"/>
          <w:szCs w:val="24"/>
        </w:rPr>
        <w:t>,</w:t>
      </w:r>
      <w:r w:rsidR="002B1419" w:rsidRPr="00414E1A">
        <w:rPr>
          <w:rFonts w:ascii="Times New Roman" w:hAnsi="Times New Roman" w:cs="Times New Roman"/>
          <w:sz w:val="24"/>
          <w:szCs w:val="24"/>
        </w:rPr>
        <w:t xml:space="preserve"> costituisce idonea </w:t>
      </w:r>
      <w:r w:rsidR="00F00986" w:rsidRPr="00414E1A">
        <w:rPr>
          <w:rFonts w:ascii="Times New Roman" w:hAnsi="Times New Roman" w:cs="Times New Roman"/>
          <w:sz w:val="24"/>
          <w:szCs w:val="24"/>
        </w:rPr>
        <w:t xml:space="preserve">(e necessaria) </w:t>
      </w:r>
      <w:r w:rsidR="002B1419" w:rsidRPr="00414E1A">
        <w:rPr>
          <w:rFonts w:ascii="Times New Roman" w:hAnsi="Times New Roman" w:cs="Times New Roman"/>
          <w:sz w:val="24"/>
          <w:szCs w:val="24"/>
        </w:rPr>
        <w:t>modalità di attribuzione dell’incarico</w:t>
      </w:r>
      <w:r w:rsidR="0046525C" w:rsidRPr="00414E1A">
        <w:rPr>
          <w:rFonts w:ascii="Times New Roman" w:hAnsi="Times New Roman" w:cs="Times New Roman"/>
          <w:sz w:val="24"/>
          <w:szCs w:val="24"/>
        </w:rPr>
        <w:t xml:space="preserve"> ai fini della trasparenza</w:t>
      </w:r>
      <w:r w:rsidR="002B1419" w:rsidRPr="00414E1A">
        <w:rPr>
          <w:rFonts w:ascii="Times New Roman" w:hAnsi="Times New Roman" w:cs="Times New Roman"/>
          <w:sz w:val="24"/>
          <w:szCs w:val="24"/>
        </w:rPr>
        <w:t xml:space="preserve"> </w:t>
      </w:r>
      <w:r w:rsidR="0046525C" w:rsidRPr="00414E1A">
        <w:rPr>
          <w:rFonts w:ascii="Times New Roman" w:hAnsi="Times New Roman" w:cs="Times New Roman"/>
          <w:sz w:val="24"/>
          <w:szCs w:val="24"/>
        </w:rPr>
        <w:t xml:space="preserve">il diverso criterio </w:t>
      </w:r>
      <w:r w:rsidR="002B1419" w:rsidRPr="00414E1A">
        <w:rPr>
          <w:rFonts w:ascii="Times New Roman" w:hAnsi="Times New Roman" w:cs="Times New Roman"/>
          <w:sz w:val="24"/>
          <w:szCs w:val="24"/>
        </w:rPr>
        <w:t>dell’evidenza pubblica</w:t>
      </w:r>
      <w:r w:rsidR="00A74348" w:rsidRPr="00414E1A">
        <w:rPr>
          <w:rFonts w:ascii="Times New Roman" w:hAnsi="Times New Roman" w:cs="Times New Roman"/>
          <w:sz w:val="24"/>
          <w:szCs w:val="24"/>
        </w:rPr>
        <w:t xml:space="preserve"> (si noti in proposito che anche la tenuta del registro è affidata al ministero e non ad un organo giurisdizionale, come invece accade per gli elenchi dei professionisti)</w:t>
      </w:r>
      <w:r w:rsidR="002B1419" w:rsidRPr="00414E1A">
        <w:rPr>
          <w:rFonts w:ascii="Times New Roman" w:hAnsi="Times New Roman" w:cs="Times New Roman"/>
          <w:sz w:val="24"/>
          <w:szCs w:val="24"/>
        </w:rPr>
        <w:t xml:space="preserve">. La circolare </w:t>
      </w:r>
      <w:r w:rsidR="00A74348" w:rsidRPr="00414E1A">
        <w:rPr>
          <w:rFonts w:ascii="Times New Roman" w:hAnsi="Times New Roman" w:cs="Times New Roman"/>
          <w:sz w:val="24"/>
          <w:szCs w:val="24"/>
        </w:rPr>
        <w:t xml:space="preserve">suddetta </w:t>
      </w:r>
      <w:r w:rsidR="002B1419" w:rsidRPr="00414E1A">
        <w:rPr>
          <w:rFonts w:ascii="Times New Roman" w:hAnsi="Times New Roman" w:cs="Times New Roman"/>
          <w:sz w:val="24"/>
          <w:szCs w:val="24"/>
        </w:rPr>
        <w:t xml:space="preserve">poi chiarisce </w:t>
      </w:r>
      <w:r w:rsidRPr="00414E1A">
        <w:rPr>
          <w:rFonts w:ascii="Times New Roman" w:hAnsi="Times New Roman" w:cs="Times New Roman"/>
          <w:sz w:val="24"/>
          <w:szCs w:val="24"/>
        </w:rPr>
        <w:t>che comunque la convenzione non può vincolare le scelte dei singoli giudici</w:t>
      </w:r>
      <w:r w:rsidR="002B1419" w:rsidRPr="00414E1A">
        <w:rPr>
          <w:rFonts w:ascii="Times New Roman" w:hAnsi="Times New Roman" w:cs="Times New Roman"/>
          <w:sz w:val="24"/>
          <w:szCs w:val="24"/>
        </w:rPr>
        <w:t>, cui anche in base al decreto (nel caso del gestore della vendita</w:t>
      </w:r>
      <w:r w:rsidR="00AC55A2" w:rsidRPr="00414E1A">
        <w:rPr>
          <w:rFonts w:ascii="Times New Roman" w:hAnsi="Times New Roman" w:cs="Times New Roman"/>
          <w:sz w:val="24"/>
          <w:szCs w:val="24"/>
        </w:rPr>
        <w:t>, come già in quella della scelta del gestore della pubblicità, quest’ultimo espressamente citato dalla circolare</w:t>
      </w:r>
      <w:r w:rsidR="002B1419" w:rsidRPr="00414E1A">
        <w:rPr>
          <w:rFonts w:ascii="Times New Roman" w:hAnsi="Times New Roman" w:cs="Times New Roman"/>
          <w:sz w:val="24"/>
          <w:szCs w:val="24"/>
        </w:rPr>
        <w:t>) spetta la scelta,  per cui è evidente che siffatte convenzioni</w:t>
      </w:r>
      <w:r w:rsidR="00A74348" w:rsidRPr="00414E1A">
        <w:rPr>
          <w:rFonts w:ascii="Times New Roman" w:hAnsi="Times New Roman" w:cs="Times New Roman"/>
          <w:sz w:val="24"/>
          <w:szCs w:val="24"/>
        </w:rPr>
        <w:t xml:space="preserve"> (ma in realtà la stessa predisposizione dei criteri dei bandi)</w:t>
      </w:r>
      <w:r w:rsidR="002B1419" w:rsidRPr="00414E1A">
        <w:rPr>
          <w:rFonts w:ascii="Times New Roman" w:hAnsi="Times New Roman" w:cs="Times New Roman"/>
          <w:sz w:val="24"/>
          <w:szCs w:val="24"/>
        </w:rPr>
        <w:t xml:space="preserve">, per funzionare, dovranno dal lato meramente interno (all’Ufficio) essere precedute da una fase preparatoria culminante in delibere </w:t>
      </w:r>
      <w:r w:rsidR="002B1419" w:rsidRPr="00414E1A">
        <w:rPr>
          <w:rFonts w:ascii="Times New Roman" w:hAnsi="Times New Roman" w:cs="Times New Roman"/>
          <w:i/>
          <w:sz w:val="24"/>
          <w:szCs w:val="24"/>
        </w:rPr>
        <w:t>ex</w:t>
      </w:r>
      <w:r w:rsidR="002B1419" w:rsidRPr="00414E1A">
        <w:rPr>
          <w:rFonts w:ascii="Times New Roman" w:hAnsi="Times New Roman" w:cs="Times New Roman"/>
          <w:sz w:val="24"/>
          <w:szCs w:val="24"/>
        </w:rPr>
        <w:t xml:space="preserve"> art.47 </w:t>
      </w:r>
      <w:r w:rsidR="002B1419" w:rsidRPr="00414E1A">
        <w:rPr>
          <w:rFonts w:ascii="Times New Roman" w:hAnsi="Times New Roman" w:cs="Times New Roman"/>
          <w:i/>
          <w:sz w:val="24"/>
          <w:szCs w:val="24"/>
        </w:rPr>
        <w:t>quater</w:t>
      </w:r>
      <w:r w:rsidR="002B1419" w:rsidRPr="00414E1A">
        <w:rPr>
          <w:rFonts w:ascii="Times New Roman" w:hAnsi="Times New Roman" w:cs="Times New Roman"/>
          <w:sz w:val="24"/>
          <w:szCs w:val="24"/>
        </w:rPr>
        <w:t xml:space="preserve"> </w:t>
      </w:r>
      <w:proofErr w:type="spellStart"/>
      <w:r w:rsidR="002B1419" w:rsidRPr="00414E1A">
        <w:rPr>
          <w:rFonts w:ascii="Times New Roman" w:hAnsi="Times New Roman" w:cs="Times New Roman"/>
          <w:sz w:val="24"/>
          <w:szCs w:val="24"/>
        </w:rPr>
        <w:t>ord</w:t>
      </w:r>
      <w:proofErr w:type="spellEnd"/>
      <w:r w:rsidR="002B1419" w:rsidRPr="00414E1A">
        <w:rPr>
          <w:rFonts w:ascii="Times New Roman" w:hAnsi="Times New Roman" w:cs="Times New Roman"/>
          <w:sz w:val="24"/>
          <w:szCs w:val="24"/>
        </w:rPr>
        <w:t xml:space="preserve">. </w:t>
      </w:r>
      <w:proofErr w:type="spellStart"/>
      <w:r w:rsidR="002B1419" w:rsidRPr="00414E1A">
        <w:rPr>
          <w:rFonts w:ascii="Times New Roman" w:hAnsi="Times New Roman" w:cs="Times New Roman"/>
          <w:sz w:val="24"/>
          <w:szCs w:val="24"/>
        </w:rPr>
        <w:t>giud</w:t>
      </w:r>
      <w:proofErr w:type="spellEnd"/>
      <w:r w:rsidR="002B1419" w:rsidRPr="00414E1A">
        <w:rPr>
          <w:rFonts w:ascii="Times New Roman" w:hAnsi="Times New Roman" w:cs="Times New Roman"/>
          <w:sz w:val="24"/>
          <w:szCs w:val="24"/>
        </w:rPr>
        <w:t>.</w:t>
      </w:r>
      <w:r w:rsidR="00AF3AB2" w:rsidRPr="00414E1A">
        <w:rPr>
          <w:rFonts w:ascii="Times New Roman" w:hAnsi="Times New Roman" w:cs="Times New Roman"/>
          <w:sz w:val="24"/>
          <w:szCs w:val="24"/>
        </w:rPr>
        <w:t xml:space="preserve"> In ogni caso appare auspicabile che, anche al fine di garantire un’auspicabile uniformità e </w:t>
      </w:r>
      <w:r w:rsidR="00AF3AB2" w:rsidRPr="00414E1A">
        <w:rPr>
          <w:rFonts w:ascii="Times New Roman" w:hAnsi="Times New Roman" w:cs="Times New Roman"/>
          <w:sz w:val="24"/>
          <w:szCs w:val="24"/>
        </w:rPr>
        <w:lastRenderedPageBreak/>
        <w:t>stabilità dei criteri su cui poi vanno indette le gare da parte dei capi dei singoli uffici giudiziari, gli stessi vengano stabiliti a livello distrettuale</w:t>
      </w:r>
      <w:r w:rsidR="00F63D3F" w:rsidRPr="00414E1A">
        <w:rPr>
          <w:rFonts w:ascii="Times New Roman" w:hAnsi="Times New Roman" w:cs="Times New Roman"/>
          <w:sz w:val="24"/>
          <w:szCs w:val="24"/>
        </w:rPr>
        <w:t xml:space="preserve"> (come già in alcune realtà si sta facendo)</w:t>
      </w:r>
      <w:r w:rsidR="00AF3AB2" w:rsidRPr="00414E1A">
        <w:rPr>
          <w:rFonts w:ascii="Times New Roman" w:hAnsi="Times New Roman" w:cs="Times New Roman"/>
          <w:sz w:val="24"/>
          <w:szCs w:val="24"/>
        </w:rPr>
        <w:t xml:space="preserve">. Certamente anche in tal caso, tenendo conto della necessità di trovare l’adesione dei giudici in rapporto </w:t>
      </w:r>
      <w:r w:rsidR="00F00986" w:rsidRPr="00414E1A">
        <w:rPr>
          <w:rFonts w:ascii="Times New Roman" w:hAnsi="Times New Roman" w:cs="Times New Roman"/>
          <w:sz w:val="24"/>
          <w:szCs w:val="24"/>
        </w:rPr>
        <w:t xml:space="preserve">alla loro competenza circa le singole nomine, le scelte a livello distrettuale vadano precedute da una fase preparatoria che coinvolga i giudici stessi, sempre attraverso lo strumento della delibera ex art.47 quater. Ciò ovviamente non imporrebbe neppure l’esistenza di criteri omogenei per tutti i tribunali del distretto ed anzi, proprio sulla base delle diverse esigenze, potrebbero gli stessi essere differenziati avuto riguardo a caratteristiche oggettive dei vari uffici giudiziari, prima fra tutte le dimensioni degli stessi, ad esempio prevedendosi criteri differenziati per uffici di piccole dimensioni rispetto a quelli previsti per quelli di maggiori dimensioni. </w:t>
      </w:r>
    </w:p>
    <w:p w:rsidR="00F00986" w:rsidRPr="00414E1A" w:rsidRDefault="00F00986"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E’ evidente a questo punto come non si possa pensare per il futuro di stipulare nuove condizioni senza che le stesse siano comunque precedute da una fase di evidenza pubblica; logico anche che il ricorso alla convenzione non costituisca un obbligo per l’ufficio, ma – scartata la soluzione del criterio della rotazione sia per le ragioni giuridiche suddette, sia per quelle pratiche pure segnalate – l’efficiente organizzazione del settore delle esecuzioni civili ben difficilmente potrà prescinderne.</w:t>
      </w:r>
    </w:p>
    <w:p w:rsidR="00A05AFD" w:rsidRPr="00414E1A" w:rsidRDefault="00AC55A2"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I</w:t>
      </w:r>
      <w:r w:rsidR="00A05AFD" w:rsidRPr="00414E1A">
        <w:rPr>
          <w:rFonts w:ascii="Times New Roman" w:hAnsi="Times New Roman" w:cs="Times New Roman"/>
          <w:sz w:val="24"/>
          <w:szCs w:val="24"/>
        </w:rPr>
        <w:t xml:space="preserve">noltre alcune </w:t>
      </w:r>
      <w:r w:rsidR="00A74348" w:rsidRPr="00414E1A">
        <w:rPr>
          <w:rFonts w:ascii="Times New Roman" w:hAnsi="Times New Roman" w:cs="Times New Roman"/>
          <w:sz w:val="24"/>
          <w:szCs w:val="24"/>
        </w:rPr>
        <w:t xml:space="preserve">ulteriori </w:t>
      </w:r>
      <w:r w:rsidR="00A05AFD" w:rsidRPr="00414E1A">
        <w:rPr>
          <w:rFonts w:ascii="Times New Roman" w:hAnsi="Times New Roman" w:cs="Times New Roman"/>
          <w:sz w:val="24"/>
          <w:szCs w:val="24"/>
        </w:rPr>
        <w:t xml:space="preserve">importanti </w:t>
      </w:r>
      <w:r w:rsidR="00B53456" w:rsidRPr="00414E1A">
        <w:rPr>
          <w:rFonts w:ascii="Times New Roman" w:hAnsi="Times New Roman" w:cs="Times New Roman"/>
          <w:sz w:val="24"/>
          <w:szCs w:val="24"/>
        </w:rPr>
        <w:t>direttive</w:t>
      </w:r>
      <w:r w:rsidR="00A05AFD" w:rsidRPr="00414E1A">
        <w:rPr>
          <w:rFonts w:ascii="Times New Roman" w:hAnsi="Times New Roman" w:cs="Times New Roman"/>
          <w:sz w:val="24"/>
          <w:szCs w:val="24"/>
        </w:rPr>
        <w:t>, pur non esaustive rispetto alle rappresentate necessità,</w:t>
      </w:r>
      <w:r w:rsidR="00B53456" w:rsidRPr="00414E1A">
        <w:rPr>
          <w:rFonts w:ascii="Times New Roman" w:hAnsi="Times New Roman" w:cs="Times New Roman"/>
          <w:sz w:val="24"/>
          <w:szCs w:val="24"/>
        </w:rPr>
        <w:t xml:space="preserve"> sono ricavabili dalla circolare, </w:t>
      </w:r>
      <w:r w:rsidR="00C148DB" w:rsidRPr="00414E1A">
        <w:rPr>
          <w:rFonts w:ascii="Times New Roman" w:hAnsi="Times New Roman" w:cs="Times New Roman"/>
          <w:sz w:val="24"/>
          <w:szCs w:val="24"/>
        </w:rPr>
        <w:t>come</w:t>
      </w:r>
      <w:r w:rsidR="00A05AFD" w:rsidRPr="00414E1A">
        <w:rPr>
          <w:rFonts w:ascii="Times New Roman" w:hAnsi="Times New Roman" w:cs="Times New Roman"/>
          <w:sz w:val="24"/>
          <w:szCs w:val="24"/>
        </w:rPr>
        <w:t xml:space="preserve"> </w:t>
      </w:r>
      <w:r w:rsidR="00B53456" w:rsidRPr="00414E1A">
        <w:rPr>
          <w:rFonts w:ascii="Times New Roman" w:hAnsi="Times New Roman" w:cs="Times New Roman"/>
          <w:sz w:val="24"/>
          <w:szCs w:val="24"/>
        </w:rPr>
        <w:t>la possibilità di avvalersi anche di risorse umane fornite dal soggetto diverso</w:t>
      </w:r>
      <w:r w:rsidR="002B1419" w:rsidRPr="00414E1A">
        <w:rPr>
          <w:rFonts w:ascii="Times New Roman" w:hAnsi="Times New Roman" w:cs="Times New Roman"/>
          <w:sz w:val="24"/>
          <w:szCs w:val="24"/>
        </w:rPr>
        <w:t xml:space="preserve"> - </w:t>
      </w:r>
      <w:r w:rsidR="00B53456" w:rsidRPr="00414E1A">
        <w:rPr>
          <w:rFonts w:ascii="Times New Roman" w:hAnsi="Times New Roman" w:cs="Times New Roman"/>
          <w:sz w:val="24"/>
          <w:szCs w:val="24"/>
        </w:rPr>
        <w:t xml:space="preserve"> purché con le non trascurabili limitazioni di cui al § 2.1., prima fra tutte il fatto che le stesse non devono essere sostitutive del personale amministrativo</w:t>
      </w:r>
      <w:r w:rsidR="002B1419" w:rsidRPr="00414E1A">
        <w:rPr>
          <w:rFonts w:ascii="Times New Roman" w:hAnsi="Times New Roman" w:cs="Times New Roman"/>
          <w:sz w:val="24"/>
          <w:szCs w:val="24"/>
        </w:rPr>
        <w:t xml:space="preserve"> - </w:t>
      </w:r>
      <w:r w:rsidR="00B53456" w:rsidRPr="00414E1A">
        <w:rPr>
          <w:rFonts w:ascii="Times New Roman" w:hAnsi="Times New Roman" w:cs="Times New Roman"/>
          <w:sz w:val="24"/>
          <w:szCs w:val="24"/>
        </w:rPr>
        <w:t xml:space="preserve">nonché implicitamente </w:t>
      </w:r>
      <w:r w:rsidR="00A05AFD" w:rsidRPr="00414E1A">
        <w:rPr>
          <w:rFonts w:ascii="Times New Roman" w:hAnsi="Times New Roman" w:cs="Times New Roman"/>
          <w:sz w:val="24"/>
          <w:szCs w:val="24"/>
        </w:rPr>
        <w:t>de</w:t>
      </w:r>
      <w:r w:rsidR="00B53456" w:rsidRPr="00414E1A">
        <w:rPr>
          <w:rFonts w:ascii="Times New Roman" w:hAnsi="Times New Roman" w:cs="Times New Roman"/>
          <w:sz w:val="24"/>
          <w:szCs w:val="24"/>
        </w:rPr>
        <w:t>gli altri servizi elencati</w:t>
      </w:r>
      <w:r w:rsidR="00A74348" w:rsidRPr="00414E1A">
        <w:rPr>
          <w:rFonts w:ascii="Times New Roman" w:hAnsi="Times New Roman" w:cs="Times New Roman"/>
          <w:sz w:val="24"/>
          <w:szCs w:val="24"/>
        </w:rPr>
        <w:t xml:space="preserve"> sopra e di cui</w:t>
      </w:r>
      <w:r w:rsidR="00B53456" w:rsidRPr="00414E1A">
        <w:rPr>
          <w:rFonts w:ascii="Times New Roman" w:hAnsi="Times New Roman" w:cs="Times New Roman"/>
          <w:sz w:val="24"/>
          <w:szCs w:val="24"/>
        </w:rPr>
        <w:t xml:space="preserve"> al §</w:t>
      </w:r>
      <w:r w:rsidR="00A05AFD" w:rsidRPr="00414E1A">
        <w:rPr>
          <w:rFonts w:ascii="Times New Roman" w:hAnsi="Times New Roman" w:cs="Times New Roman"/>
          <w:sz w:val="24"/>
          <w:szCs w:val="24"/>
        </w:rPr>
        <w:t xml:space="preserve"> 1</w:t>
      </w:r>
      <w:r w:rsidR="00A74348" w:rsidRPr="00414E1A">
        <w:rPr>
          <w:rFonts w:ascii="Times New Roman" w:hAnsi="Times New Roman" w:cs="Times New Roman"/>
          <w:sz w:val="24"/>
          <w:szCs w:val="24"/>
        </w:rPr>
        <w:t xml:space="preserve"> della circolare</w:t>
      </w:r>
      <w:r w:rsidR="00A05AFD" w:rsidRPr="00414E1A">
        <w:rPr>
          <w:rFonts w:ascii="Times New Roman" w:hAnsi="Times New Roman" w:cs="Times New Roman"/>
          <w:sz w:val="24"/>
          <w:szCs w:val="24"/>
        </w:rPr>
        <w:t>. Ora tenuto conto che la circolare prevede che la stipula delle convenzioni debba avvenire con criteri di evidenza pubblica</w:t>
      </w:r>
      <w:r w:rsidR="00A74348" w:rsidRPr="00414E1A">
        <w:rPr>
          <w:rFonts w:ascii="Times New Roman" w:hAnsi="Times New Roman" w:cs="Times New Roman"/>
          <w:sz w:val="24"/>
          <w:szCs w:val="24"/>
        </w:rPr>
        <w:t xml:space="preserve"> (altro chiarimento rilevante quanto coerente con quanto sopra osservato)</w:t>
      </w:r>
      <w:r w:rsidR="00902730" w:rsidRPr="00414E1A">
        <w:rPr>
          <w:rFonts w:ascii="Times New Roman" w:hAnsi="Times New Roman" w:cs="Times New Roman"/>
          <w:sz w:val="24"/>
          <w:szCs w:val="24"/>
        </w:rPr>
        <w:t xml:space="preserve">, </w:t>
      </w:r>
      <w:r w:rsidR="00A05AFD" w:rsidRPr="00414E1A">
        <w:rPr>
          <w:rFonts w:ascii="Times New Roman" w:hAnsi="Times New Roman" w:cs="Times New Roman"/>
          <w:sz w:val="24"/>
          <w:szCs w:val="24"/>
        </w:rPr>
        <w:t>appare logico che i relativi bandi potranno essere strutturati in modo da dare a tali servizi</w:t>
      </w:r>
      <w:r w:rsidR="00560C32" w:rsidRPr="00414E1A">
        <w:rPr>
          <w:rFonts w:ascii="Times New Roman" w:hAnsi="Times New Roman" w:cs="Times New Roman"/>
          <w:sz w:val="24"/>
          <w:szCs w:val="24"/>
        </w:rPr>
        <w:t xml:space="preserve"> -  che dovranno essere ricavabili </w:t>
      </w:r>
      <w:r w:rsidR="002B1419" w:rsidRPr="00414E1A">
        <w:rPr>
          <w:rFonts w:ascii="Times New Roman" w:hAnsi="Times New Roman" w:cs="Times New Roman"/>
          <w:sz w:val="24"/>
          <w:szCs w:val="24"/>
        </w:rPr>
        <w:t xml:space="preserve">anche </w:t>
      </w:r>
      <w:r w:rsidR="00560C32" w:rsidRPr="00414E1A">
        <w:rPr>
          <w:rFonts w:ascii="Times New Roman" w:hAnsi="Times New Roman" w:cs="Times New Roman"/>
          <w:sz w:val="24"/>
          <w:szCs w:val="24"/>
        </w:rPr>
        <w:t xml:space="preserve">dal manuale </w:t>
      </w:r>
      <w:r w:rsidR="00B94034" w:rsidRPr="00414E1A">
        <w:rPr>
          <w:rFonts w:ascii="Times New Roman" w:hAnsi="Times New Roman" w:cs="Times New Roman"/>
          <w:sz w:val="24"/>
          <w:szCs w:val="24"/>
        </w:rPr>
        <w:t xml:space="preserve">operativo </w:t>
      </w:r>
      <w:r w:rsidR="00560C32" w:rsidRPr="00414E1A">
        <w:rPr>
          <w:rFonts w:ascii="Times New Roman" w:hAnsi="Times New Roman" w:cs="Times New Roman"/>
          <w:sz w:val="24"/>
          <w:szCs w:val="24"/>
        </w:rPr>
        <w:t>dei servizi di cui a</w:t>
      </w:r>
      <w:r w:rsidR="00B94034" w:rsidRPr="00414E1A">
        <w:rPr>
          <w:rFonts w:ascii="Times New Roman" w:hAnsi="Times New Roman" w:cs="Times New Roman"/>
          <w:sz w:val="24"/>
          <w:szCs w:val="24"/>
        </w:rPr>
        <w:t xml:space="preserve">gli artt.4 e 10, 3° co. </w:t>
      </w:r>
      <w:proofErr w:type="spellStart"/>
      <w:r w:rsidR="00B94034" w:rsidRPr="00414E1A">
        <w:rPr>
          <w:rFonts w:ascii="Times New Roman" w:hAnsi="Times New Roman" w:cs="Times New Roman"/>
          <w:sz w:val="24"/>
          <w:szCs w:val="24"/>
        </w:rPr>
        <w:t>d.m.</w:t>
      </w:r>
      <w:proofErr w:type="spellEnd"/>
      <w:r w:rsidR="002B1419" w:rsidRPr="00414E1A">
        <w:rPr>
          <w:rFonts w:ascii="Times New Roman" w:hAnsi="Times New Roman" w:cs="Times New Roman"/>
          <w:sz w:val="24"/>
          <w:szCs w:val="24"/>
        </w:rPr>
        <w:t xml:space="preserve"> -</w:t>
      </w:r>
      <w:r w:rsidR="00560C32" w:rsidRPr="00414E1A">
        <w:rPr>
          <w:rFonts w:ascii="Times New Roman" w:hAnsi="Times New Roman" w:cs="Times New Roman"/>
          <w:sz w:val="24"/>
          <w:szCs w:val="24"/>
        </w:rPr>
        <w:t xml:space="preserve"> </w:t>
      </w:r>
      <w:r w:rsidR="00A05AFD" w:rsidRPr="00414E1A">
        <w:rPr>
          <w:rFonts w:ascii="Times New Roman" w:hAnsi="Times New Roman" w:cs="Times New Roman"/>
          <w:sz w:val="24"/>
          <w:szCs w:val="24"/>
        </w:rPr>
        <w:t xml:space="preserve"> la giusta rilevanza ai fini della gara, unitamente agli aspetti economici</w:t>
      </w:r>
      <w:r w:rsidR="00B94034" w:rsidRPr="00414E1A">
        <w:rPr>
          <w:rFonts w:ascii="Times New Roman" w:hAnsi="Times New Roman" w:cs="Times New Roman"/>
          <w:sz w:val="24"/>
          <w:szCs w:val="24"/>
        </w:rPr>
        <w:t xml:space="preserve"> (questi ultimi coerenti con quanto stabilito dall’art.10, 3° co. </w:t>
      </w:r>
      <w:proofErr w:type="spellStart"/>
      <w:r w:rsidR="00B94034" w:rsidRPr="00414E1A">
        <w:rPr>
          <w:rFonts w:ascii="Times New Roman" w:hAnsi="Times New Roman" w:cs="Times New Roman"/>
          <w:sz w:val="24"/>
          <w:szCs w:val="24"/>
        </w:rPr>
        <w:t>d.m.</w:t>
      </w:r>
      <w:proofErr w:type="spellEnd"/>
      <w:r w:rsidR="00B94034" w:rsidRPr="00414E1A">
        <w:rPr>
          <w:rFonts w:ascii="Times New Roman" w:hAnsi="Times New Roman" w:cs="Times New Roman"/>
          <w:sz w:val="24"/>
          <w:szCs w:val="24"/>
        </w:rPr>
        <w:t>)</w:t>
      </w:r>
      <w:r w:rsidR="00A05AFD" w:rsidRPr="00414E1A">
        <w:rPr>
          <w:rFonts w:ascii="Times New Roman" w:hAnsi="Times New Roman" w:cs="Times New Roman"/>
          <w:sz w:val="24"/>
          <w:szCs w:val="24"/>
        </w:rPr>
        <w:t>.</w:t>
      </w:r>
    </w:p>
    <w:p w:rsidR="00A05AFD" w:rsidRDefault="00A05AFD" w:rsidP="0040330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 xml:space="preserve">Altre direttive sono poi costituite da 1) potestà di stipula conferita ai soli Capi degli Uffici; 2) non onerosità per l’amministrazione; 4) sussistenza dei requisiti di legge in relazione alla specificità del servizio (nel nostro caso quanto previsto dall’art.3 del </w:t>
      </w:r>
      <w:proofErr w:type="spellStart"/>
      <w:r w:rsidRPr="00414E1A">
        <w:rPr>
          <w:rFonts w:ascii="Times New Roman" w:hAnsi="Times New Roman" w:cs="Times New Roman"/>
          <w:sz w:val="24"/>
          <w:szCs w:val="24"/>
        </w:rPr>
        <w:t>d.m.</w:t>
      </w:r>
      <w:proofErr w:type="spellEnd"/>
      <w:r w:rsidRPr="00414E1A">
        <w:rPr>
          <w:rFonts w:ascii="Times New Roman" w:hAnsi="Times New Roman" w:cs="Times New Roman"/>
          <w:sz w:val="24"/>
          <w:szCs w:val="24"/>
        </w:rPr>
        <w:t>); 5)</w:t>
      </w:r>
      <w:r w:rsidR="002B1419" w:rsidRPr="00414E1A">
        <w:rPr>
          <w:rFonts w:ascii="Times New Roman" w:hAnsi="Times New Roman" w:cs="Times New Roman"/>
          <w:sz w:val="24"/>
          <w:szCs w:val="24"/>
        </w:rPr>
        <w:t xml:space="preserve"> </w:t>
      </w:r>
      <w:r w:rsidRPr="00414E1A">
        <w:rPr>
          <w:rFonts w:ascii="Times New Roman" w:hAnsi="Times New Roman" w:cs="Times New Roman"/>
          <w:sz w:val="24"/>
          <w:szCs w:val="24"/>
        </w:rPr>
        <w:t>compatibilità con i servizi istituzionali dell’amministrazione; 6) durata limitata nel tempo; 7) possibilità per gli Uffici di sciogliersi dalla convenzione in caso di individuazione di nuovi strumenti per garantire i servizi o le relative esigenze siano superate o ancora di non compatibilità con le regole di funzionamento e organizzazione dei servizi della giustizia.</w:t>
      </w:r>
      <w:r>
        <w:rPr>
          <w:rFonts w:ascii="Times New Roman" w:hAnsi="Times New Roman" w:cs="Times New Roman"/>
          <w:sz w:val="24"/>
          <w:szCs w:val="24"/>
        </w:rPr>
        <w:t xml:space="preserve"> </w:t>
      </w:r>
    </w:p>
    <w:p w:rsidR="00405023"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Si ringraziano per la preziosa interlocuzione i colleghi</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Stefano De Michele, Tribunale di Roma</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 xml:space="preserve">Sabrina </w:t>
      </w:r>
      <w:proofErr w:type="spellStart"/>
      <w:r>
        <w:rPr>
          <w:rFonts w:ascii="Times New Roman" w:hAnsi="Times New Roman" w:cs="Times New Roman"/>
          <w:b/>
          <w:sz w:val="24"/>
          <w:szCs w:val="24"/>
        </w:rPr>
        <w:t>Passafiume</w:t>
      </w:r>
      <w:proofErr w:type="spellEnd"/>
      <w:r>
        <w:rPr>
          <w:rFonts w:ascii="Times New Roman" w:hAnsi="Times New Roman" w:cs="Times New Roman"/>
          <w:b/>
          <w:sz w:val="24"/>
          <w:szCs w:val="24"/>
        </w:rPr>
        <w:t xml:space="preserve"> Tribunale di Busto Arsizio</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lastRenderedPageBreak/>
        <w:t>Sergio Rossetti Tribunale di Milano</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Rinaldo D’Alonzo Tribunale di Larino</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 xml:space="preserve">Dario </w:t>
      </w:r>
      <w:proofErr w:type="spellStart"/>
      <w:r>
        <w:rPr>
          <w:rFonts w:ascii="Times New Roman" w:hAnsi="Times New Roman" w:cs="Times New Roman"/>
          <w:b/>
          <w:sz w:val="24"/>
          <w:szCs w:val="24"/>
        </w:rPr>
        <w:t>Colasanti</w:t>
      </w:r>
      <w:proofErr w:type="spellEnd"/>
      <w:r>
        <w:rPr>
          <w:rFonts w:ascii="Times New Roman" w:hAnsi="Times New Roman" w:cs="Times New Roman"/>
          <w:b/>
          <w:sz w:val="24"/>
          <w:szCs w:val="24"/>
        </w:rPr>
        <w:t xml:space="preserve"> Tribunale di Lecco</w:t>
      </w:r>
    </w:p>
    <w:sectPr w:rsidR="00414E1A" w:rsidSect="00016BD7">
      <w:footerReference w:type="default" r:id="rId9"/>
      <w:pgSz w:w="11906" w:h="16838"/>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73" w:rsidRDefault="004F4973" w:rsidP="0084713A">
      <w:pPr>
        <w:spacing w:after="0" w:line="240" w:lineRule="auto"/>
      </w:pPr>
      <w:r>
        <w:separator/>
      </w:r>
    </w:p>
  </w:endnote>
  <w:endnote w:type="continuationSeparator" w:id="0">
    <w:p w:rsidR="004F4973" w:rsidRDefault="004F4973" w:rsidP="0084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347127"/>
      <w:docPartObj>
        <w:docPartGallery w:val="Page Numbers (Bottom of Page)"/>
        <w:docPartUnique/>
      </w:docPartObj>
    </w:sdtPr>
    <w:sdtEndPr/>
    <w:sdtContent>
      <w:p w:rsidR="000B7AA2" w:rsidRDefault="000B7AA2">
        <w:pPr>
          <w:pStyle w:val="Pidipagina"/>
          <w:jc w:val="right"/>
        </w:pPr>
        <w:r>
          <w:fldChar w:fldCharType="begin"/>
        </w:r>
        <w:r>
          <w:instrText>PAGE   \* MERGEFORMAT</w:instrText>
        </w:r>
        <w:r>
          <w:fldChar w:fldCharType="separate"/>
        </w:r>
        <w:r w:rsidR="00403302">
          <w:rPr>
            <w:noProof/>
          </w:rPr>
          <w:t>8</w:t>
        </w:r>
        <w:r>
          <w:fldChar w:fldCharType="end"/>
        </w:r>
      </w:p>
    </w:sdtContent>
  </w:sdt>
  <w:p w:rsidR="000B7AA2" w:rsidRDefault="000B7AA2" w:rsidP="007616F4">
    <w:pPr>
      <w:pStyle w:val="Pidipagina"/>
      <w:tabs>
        <w:tab w:val="clear" w:pos="4819"/>
        <w:tab w:val="clear" w:pos="9638"/>
        <w:tab w:val="left" w:pos="27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73" w:rsidRDefault="004F4973" w:rsidP="0084713A">
      <w:pPr>
        <w:spacing w:after="0" w:line="240" w:lineRule="auto"/>
      </w:pPr>
    </w:p>
  </w:footnote>
  <w:footnote w:type="continuationSeparator" w:id="0">
    <w:p w:rsidR="004F4973" w:rsidRDefault="004F4973" w:rsidP="00847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57A"/>
    <w:multiLevelType w:val="hybridMultilevel"/>
    <w:tmpl w:val="0BECC6C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9F92523"/>
    <w:multiLevelType w:val="hybridMultilevel"/>
    <w:tmpl w:val="3A20624E"/>
    <w:lvl w:ilvl="0" w:tplc="0410000F">
      <w:start w:val="5"/>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556C89"/>
    <w:multiLevelType w:val="hybridMultilevel"/>
    <w:tmpl w:val="5FCEC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6134D9"/>
    <w:multiLevelType w:val="hybridMultilevel"/>
    <w:tmpl w:val="8460F8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4C6B96"/>
    <w:multiLevelType w:val="hybridMultilevel"/>
    <w:tmpl w:val="2620F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8640641"/>
    <w:multiLevelType w:val="hybridMultilevel"/>
    <w:tmpl w:val="13E6C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C117F2"/>
    <w:multiLevelType w:val="hybridMultilevel"/>
    <w:tmpl w:val="8544F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4CF0272"/>
    <w:multiLevelType w:val="hybridMultilevel"/>
    <w:tmpl w:val="5FCEC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E25B8C"/>
    <w:multiLevelType w:val="hybridMultilevel"/>
    <w:tmpl w:val="01AA35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0665771"/>
    <w:multiLevelType w:val="hybridMultilevel"/>
    <w:tmpl w:val="8152BF90"/>
    <w:lvl w:ilvl="0" w:tplc="F37C9F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9CC62F5"/>
    <w:multiLevelType w:val="multilevel"/>
    <w:tmpl w:val="25E64912"/>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7BA53917"/>
    <w:multiLevelType w:val="hybridMultilevel"/>
    <w:tmpl w:val="ECFAE70C"/>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11"/>
  </w:num>
  <w:num w:numId="6">
    <w:abstractNumId w:val="10"/>
  </w:num>
  <w:num w:numId="7">
    <w:abstractNumId w:val="6"/>
  </w:num>
  <w:num w:numId="8">
    <w:abstractNumId w:val="5"/>
  </w:num>
  <w:num w:numId="9">
    <w:abstractNumId w:val="8"/>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4A"/>
    <w:rsid w:val="00003729"/>
    <w:rsid w:val="00004583"/>
    <w:rsid w:val="00007C2E"/>
    <w:rsid w:val="00010FA5"/>
    <w:rsid w:val="00012DAC"/>
    <w:rsid w:val="00016BD7"/>
    <w:rsid w:val="00020265"/>
    <w:rsid w:val="00021463"/>
    <w:rsid w:val="0002552B"/>
    <w:rsid w:val="00030700"/>
    <w:rsid w:val="00035071"/>
    <w:rsid w:val="00036BD9"/>
    <w:rsid w:val="00041119"/>
    <w:rsid w:val="00042C50"/>
    <w:rsid w:val="0004711A"/>
    <w:rsid w:val="000602A8"/>
    <w:rsid w:val="0006169E"/>
    <w:rsid w:val="00062187"/>
    <w:rsid w:val="00062AC2"/>
    <w:rsid w:val="00065F7E"/>
    <w:rsid w:val="0006681E"/>
    <w:rsid w:val="00071828"/>
    <w:rsid w:val="000720D8"/>
    <w:rsid w:val="0009211A"/>
    <w:rsid w:val="00095893"/>
    <w:rsid w:val="00096433"/>
    <w:rsid w:val="0009718B"/>
    <w:rsid w:val="000A3018"/>
    <w:rsid w:val="000A48E2"/>
    <w:rsid w:val="000A58B9"/>
    <w:rsid w:val="000A7C06"/>
    <w:rsid w:val="000B193B"/>
    <w:rsid w:val="000B38B3"/>
    <w:rsid w:val="000B7AA2"/>
    <w:rsid w:val="000C1EF4"/>
    <w:rsid w:val="000C2162"/>
    <w:rsid w:val="000C3583"/>
    <w:rsid w:val="000E4D0F"/>
    <w:rsid w:val="000F265C"/>
    <w:rsid w:val="000F31F9"/>
    <w:rsid w:val="000F3C44"/>
    <w:rsid w:val="000F5265"/>
    <w:rsid w:val="001000F3"/>
    <w:rsid w:val="001024FD"/>
    <w:rsid w:val="00102C64"/>
    <w:rsid w:val="0010450B"/>
    <w:rsid w:val="00104843"/>
    <w:rsid w:val="00106634"/>
    <w:rsid w:val="00111FED"/>
    <w:rsid w:val="00117377"/>
    <w:rsid w:val="00122234"/>
    <w:rsid w:val="0012253D"/>
    <w:rsid w:val="00132675"/>
    <w:rsid w:val="00135FA6"/>
    <w:rsid w:val="001431D5"/>
    <w:rsid w:val="0014440A"/>
    <w:rsid w:val="00145A65"/>
    <w:rsid w:val="00146C5B"/>
    <w:rsid w:val="0014773C"/>
    <w:rsid w:val="00154A57"/>
    <w:rsid w:val="001565E1"/>
    <w:rsid w:val="0015698A"/>
    <w:rsid w:val="00163835"/>
    <w:rsid w:val="00165C53"/>
    <w:rsid w:val="001667F2"/>
    <w:rsid w:val="001672C9"/>
    <w:rsid w:val="001706A0"/>
    <w:rsid w:val="001745A3"/>
    <w:rsid w:val="00174C17"/>
    <w:rsid w:val="001769E1"/>
    <w:rsid w:val="00176C7C"/>
    <w:rsid w:val="00177A55"/>
    <w:rsid w:val="00184CAF"/>
    <w:rsid w:val="001859F6"/>
    <w:rsid w:val="00187C87"/>
    <w:rsid w:val="0019147A"/>
    <w:rsid w:val="00192140"/>
    <w:rsid w:val="001958D8"/>
    <w:rsid w:val="001A1BFF"/>
    <w:rsid w:val="001A30B3"/>
    <w:rsid w:val="001A368E"/>
    <w:rsid w:val="001A3EA7"/>
    <w:rsid w:val="001A73D5"/>
    <w:rsid w:val="001C2BDB"/>
    <w:rsid w:val="001C58DA"/>
    <w:rsid w:val="001C776C"/>
    <w:rsid w:val="001D00A3"/>
    <w:rsid w:val="001D0793"/>
    <w:rsid w:val="001D6B20"/>
    <w:rsid w:val="001E0FDA"/>
    <w:rsid w:val="001E1057"/>
    <w:rsid w:val="001E3655"/>
    <w:rsid w:val="001E3A96"/>
    <w:rsid w:val="001E5BC3"/>
    <w:rsid w:val="001E6F6E"/>
    <w:rsid w:val="001F06C5"/>
    <w:rsid w:val="001F336E"/>
    <w:rsid w:val="001F3F77"/>
    <w:rsid w:val="001F40F9"/>
    <w:rsid w:val="001F5F4D"/>
    <w:rsid w:val="001F7010"/>
    <w:rsid w:val="00212978"/>
    <w:rsid w:val="00212B13"/>
    <w:rsid w:val="002148F6"/>
    <w:rsid w:val="00215850"/>
    <w:rsid w:val="002163C4"/>
    <w:rsid w:val="00225583"/>
    <w:rsid w:val="0022710B"/>
    <w:rsid w:val="00233EC5"/>
    <w:rsid w:val="00234B6B"/>
    <w:rsid w:val="00240A4C"/>
    <w:rsid w:val="002419CA"/>
    <w:rsid w:val="002420CA"/>
    <w:rsid w:val="00244897"/>
    <w:rsid w:val="0024680F"/>
    <w:rsid w:val="00250F16"/>
    <w:rsid w:val="00251756"/>
    <w:rsid w:val="00252C21"/>
    <w:rsid w:val="00257B33"/>
    <w:rsid w:val="002618ED"/>
    <w:rsid w:val="00264117"/>
    <w:rsid w:val="00270EA2"/>
    <w:rsid w:val="00272175"/>
    <w:rsid w:val="002810A5"/>
    <w:rsid w:val="00292561"/>
    <w:rsid w:val="00294780"/>
    <w:rsid w:val="00297C8A"/>
    <w:rsid w:val="002A4143"/>
    <w:rsid w:val="002A55F9"/>
    <w:rsid w:val="002A5BC8"/>
    <w:rsid w:val="002B1419"/>
    <w:rsid w:val="002B27B1"/>
    <w:rsid w:val="002B7AF7"/>
    <w:rsid w:val="002C109D"/>
    <w:rsid w:val="002C20F2"/>
    <w:rsid w:val="002C233A"/>
    <w:rsid w:val="002C2C93"/>
    <w:rsid w:val="002C3956"/>
    <w:rsid w:val="002C7B1E"/>
    <w:rsid w:val="002C7DDA"/>
    <w:rsid w:val="002D0CB4"/>
    <w:rsid w:val="002D3AAF"/>
    <w:rsid w:val="002E262E"/>
    <w:rsid w:val="002E3331"/>
    <w:rsid w:val="002F06C6"/>
    <w:rsid w:val="002F202E"/>
    <w:rsid w:val="003020FA"/>
    <w:rsid w:val="00305E9A"/>
    <w:rsid w:val="00306016"/>
    <w:rsid w:val="0030622F"/>
    <w:rsid w:val="00311070"/>
    <w:rsid w:val="003112A3"/>
    <w:rsid w:val="003124CF"/>
    <w:rsid w:val="003129D6"/>
    <w:rsid w:val="00312FC0"/>
    <w:rsid w:val="00313A96"/>
    <w:rsid w:val="003147C0"/>
    <w:rsid w:val="003157D6"/>
    <w:rsid w:val="00315EEC"/>
    <w:rsid w:val="0031637D"/>
    <w:rsid w:val="0032399F"/>
    <w:rsid w:val="00324FED"/>
    <w:rsid w:val="00330F69"/>
    <w:rsid w:val="003320D2"/>
    <w:rsid w:val="00335958"/>
    <w:rsid w:val="0033620F"/>
    <w:rsid w:val="00336264"/>
    <w:rsid w:val="003372F8"/>
    <w:rsid w:val="003421D7"/>
    <w:rsid w:val="00342FA3"/>
    <w:rsid w:val="0034468E"/>
    <w:rsid w:val="00345D28"/>
    <w:rsid w:val="0034708C"/>
    <w:rsid w:val="00347D7D"/>
    <w:rsid w:val="00350602"/>
    <w:rsid w:val="00361069"/>
    <w:rsid w:val="00362B1A"/>
    <w:rsid w:val="003632F2"/>
    <w:rsid w:val="00364C68"/>
    <w:rsid w:val="00365BB4"/>
    <w:rsid w:val="00366042"/>
    <w:rsid w:val="00366554"/>
    <w:rsid w:val="0037227C"/>
    <w:rsid w:val="00377C8E"/>
    <w:rsid w:val="003862F9"/>
    <w:rsid w:val="00387462"/>
    <w:rsid w:val="00387B4E"/>
    <w:rsid w:val="00390DF8"/>
    <w:rsid w:val="00390DFF"/>
    <w:rsid w:val="003962D0"/>
    <w:rsid w:val="003A0DCD"/>
    <w:rsid w:val="003A129A"/>
    <w:rsid w:val="003A20CD"/>
    <w:rsid w:val="003A6F76"/>
    <w:rsid w:val="003B34EC"/>
    <w:rsid w:val="003B354C"/>
    <w:rsid w:val="003B3964"/>
    <w:rsid w:val="003B5143"/>
    <w:rsid w:val="003B555A"/>
    <w:rsid w:val="003B7F48"/>
    <w:rsid w:val="003C66D7"/>
    <w:rsid w:val="003C71C4"/>
    <w:rsid w:val="003D3067"/>
    <w:rsid w:val="003D686E"/>
    <w:rsid w:val="003F298A"/>
    <w:rsid w:val="003F3D3A"/>
    <w:rsid w:val="003F669B"/>
    <w:rsid w:val="003F71E6"/>
    <w:rsid w:val="003F7B63"/>
    <w:rsid w:val="0040034F"/>
    <w:rsid w:val="0040077C"/>
    <w:rsid w:val="00403302"/>
    <w:rsid w:val="00405023"/>
    <w:rsid w:val="004070D2"/>
    <w:rsid w:val="00414E1A"/>
    <w:rsid w:val="00415494"/>
    <w:rsid w:val="00415CDA"/>
    <w:rsid w:val="0041641E"/>
    <w:rsid w:val="00420A23"/>
    <w:rsid w:val="0042181D"/>
    <w:rsid w:val="0042190F"/>
    <w:rsid w:val="0042306B"/>
    <w:rsid w:val="004249F7"/>
    <w:rsid w:val="00425B11"/>
    <w:rsid w:val="00425CE3"/>
    <w:rsid w:val="0043216D"/>
    <w:rsid w:val="00433DCD"/>
    <w:rsid w:val="00435F77"/>
    <w:rsid w:val="00450429"/>
    <w:rsid w:val="00454AE5"/>
    <w:rsid w:val="00455F02"/>
    <w:rsid w:val="0046525C"/>
    <w:rsid w:val="00470869"/>
    <w:rsid w:val="00473F73"/>
    <w:rsid w:val="00482045"/>
    <w:rsid w:val="00483A59"/>
    <w:rsid w:val="00486CF3"/>
    <w:rsid w:val="00491238"/>
    <w:rsid w:val="004915E3"/>
    <w:rsid w:val="00497B4A"/>
    <w:rsid w:val="004B02F0"/>
    <w:rsid w:val="004B44DD"/>
    <w:rsid w:val="004B45D6"/>
    <w:rsid w:val="004B57D1"/>
    <w:rsid w:val="004B6325"/>
    <w:rsid w:val="004C1DCD"/>
    <w:rsid w:val="004C29E0"/>
    <w:rsid w:val="004D1D6D"/>
    <w:rsid w:val="004D416D"/>
    <w:rsid w:val="004E22DC"/>
    <w:rsid w:val="004E4153"/>
    <w:rsid w:val="004F22E6"/>
    <w:rsid w:val="004F4973"/>
    <w:rsid w:val="004F6CF3"/>
    <w:rsid w:val="005078EE"/>
    <w:rsid w:val="005120D9"/>
    <w:rsid w:val="00512C25"/>
    <w:rsid w:val="00512CCD"/>
    <w:rsid w:val="005142CD"/>
    <w:rsid w:val="00514F32"/>
    <w:rsid w:val="00520BC7"/>
    <w:rsid w:val="00521361"/>
    <w:rsid w:val="00522015"/>
    <w:rsid w:val="00522ECE"/>
    <w:rsid w:val="00525A6B"/>
    <w:rsid w:val="005302E6"/>
    <w:rsid w:val="005306B2"/>
    <w:rsid w:val="00530EEE"/>
    <w:rsid w:val="0053260A"/>
    <w:rsid w:val="005433DD"/>
    <w:rsid w:val="00544D50"/>
    <w:rsid w:val="00550CDD"/>
    <w:rsid w:val="00560C32"/>
    <w:rsid w:val="00561347"/>
    <w:rsid w:val="00562C7A"/>
    <w:rsid w:val="00562F50"/>
    <w:rsid w:val="0056364A"/>
    <w:rsid w:val="00567822"/>
    <w:rsid w:val="00567A17"/>
    <w:rsid w:val="005757F7"/>
    <w:rsid w:val="00575BE3"/>
    <w:rsid w:val="005772DD"/>
    <w:rsid w:val="00584ABE"/>
    <w:rsid w:val="005977D8"/>
    <w:rsid w:val="005A2DBD"/>
    <w:rsid w:val="005A32B0"/>
    <w:rsid w:val="005A434E"/>
    <w:rsid w:val="005B305A"/>
    <w:rsid w:val="005C5FEE"/>
    <w:rsid w:val="005C6896"/>
    <w:rsid w:val="005C7ADE"/>
    <w:rsid w:val="005C7D31"/>
    <w:rsid w:val="005D2242"/>
    <w:rsid w:val="005D5A9B"/>
    <w:rsid w:val="005D6103"/>
    <w:rsid w:val="005D7944"/>
    <w:rsid w:val="005E1067"/>
    <w:rsid w:val="005E107A"/>
    <w:rsid w:val="005E4013"/>
    <w:rsid w:val="005E43DC"/>
    <w:rsid w:val="005E5071"/>
    <w:rsid w:val="005E6A79"/>
    <w:rsid w:val="005E7DD9"/>
    <w:rsid w:val="005F2239"/>
    <w:rsid w:val="005F29BB"/>
    <w:rsid w:val="0061414B"/>
    <w:rsid w:val="00614EC7"/>
    <w:rsid w:val="00615CA5"/>
    <w:rsid w:val="006235D9"/>
    <w:rsid w:val="0062544B"/>
    <w:rsid w:val="00625B95"/>
    <w:rsid w:val="00625C15"/>
    <w:rsid w:val="00632D69"/>
    <w:rsid w:val="006331FA"/>
    <w:rsid w:val="006422BB"/>
    <w:rsid w:val="006444F8"/>
    <w:rsid w:val="00644768"/>
    <w:rsid w:val="00645029"/>
    <w:rsid w:val="00654963"/>
    <w:rsid w:val="0065661C"/>
    <w:rsid w:val="00660CEA"/>
    <w:rsid w:val="0066167D"/>
    <w:rsid w:val="00662670"/>
    <w:rsid w:val="00670385"/>
    <w:rsid w:val="006736FC"/>
    <w:rsid w:val="006756BB"/>
    <w:rsid w:val="00676D0E"/>
    <w:rsid w:val="00682DD6"/>
    <w:rsid w:val="00684FB6"/>
    <w:rsid w:val="00685AE5"/>
    <w:rsid w:val="00690229"/>
    <w:rsid w:val="00693033"/>
    <w:rsid w:val="00694D6F"/>
    <w:rsid w:val="00697508"/>
    <w:rsid w:val="006A237A"/>
    <w:rsid w:val="006A4510"/>
    <w:rsid w:val="006A48A4"/>
    <w:rsid w:val="006A5A5F"/>
    <w:rsid w:val="006A6769"/>
    <w:rsid w:val="006B1D3F"/>
    <w:rsid w:val="006B41C9"/>
    <w:rsid w:val="006B45E9"/>
    <w:rsid w:val="006B4A60"/>
    <w:rsid w:val="006B5518"/>
    <w:rsid w:val="006B7542"/>
    <w:rsid w:val="006C4024"/>
    <w:rsid w:val="006C531E"/>
    <w:rsid w:val="006C598B"/>
    <w:rsid w:val="006C74E2"/>
    <w:rsid w:val="006D1EEF"/>
    <w:rsid w:val="006E17E3"/>
    <w:rsid w:val="006E24F6"/>
    <w:rsid w:val="006E68A5"/>
    <w:rsid w:val="006E6C7F"/>
    <w:rsid w:val="006E7A3B"/>
    <w:rsid w:val="006F0E44"/>
    <w:rsid w:val="006F1256"/>
    <w:rsid w:val="007007B2"/>
    <w:rsid w:val="00702ED6"/>
    <w:rsid w:val="00703635"/>
    <w:rsid w:val="00704795"/>
    <w:rsid w:val="007065CD"/>
    <w:rsid w:val="0070737D"/>
    <w:rsid w:val="007079E7"/>
    <w:rsid w:val="00713B64"/>
    <w:rsid w:val="00715E72"/>
    <w:rsid w:val="00717926"/>
    <w:rsid w:val="007213D0"/>
    <w:rsid w:val="0072485C"/>
    <w:rsid w:val="00724F48"/>
    <w:rsid w:val="00730255"/>
    <w:rsid w:val="00737052"/>
    <w:rsid w:val="00741055"/>
    <w:rsid w:val="00743ED6"/>
    <w:rsid w:val="00745CE4"/>
    <w:rsid w:val="00752AF7"/>
    <w:rsid w:val="00755EE5"/>
    <w:rsid w:val="00756433"/>
    <w:rsid w:val="00757BEF"/>
    <w:rsid w:val="00757F4B"/>
    <w:rsid w:val="00761414"/>
    <w:rsid w:val="007616F4"/>
    <w:rsid w:val="00763C3C"/>
    <w:rsid w:val="00764A81"/>
    <w:rsid w:val="007720E7"/>
    <w:rsid w:val="00772331"/>
    <w:rsid w:val="00772EC0"/>
    <w:rsid w:val="00773720"/>
    <w:rsid w:val="007817E1"/>
    <w:rsid w:val="00781F9E"/>
    <w:rsid w:val="00783A23"/>
    <w:rsid w:val="0078702E"/>
    <w:rsid w:val="00790654"/>
    <w:rsid w:val="007934F1"/>
    <w:rsid w:val="00794128"/>
    <w:rsid w:val="00796169"/>
    <w:rsid w:val="007961E4"/>
    <w:rsid w:val="00797429"/>
    <w:rsid w:val="007A2CAD"/>
    <w:rsid w:val="007A6AC6"/>
    <w:rsid w:val="007B3944"/>
    <w:rsid w:val="007B4DBE"/>
    <w:rsid w:val="007C23EF"/>
    <w:rsid w:val="007C5748"/>
    <w:rsid w:val="007C72BE"/>
    <w:rsid w:val="007D0042"/>
    <w:rsid w:val="007D0C83"/>
    <w:rsid w:val="007D1A01"/>
    <w:rsid w:val="007D241A"/>
    <w:rsid w:val="007D43EB"/>
    <w:rsid w:val="007D534C"/>
    <w:rsid w:val="007D7EC3"/>
    <w:rsid w:val="007E67EA"/>
    <w:rsid w:val="007E6DEE"/>
    <w:rsid w:val="007E773C"/>
    <w:rsid w:val="007F008A"/>
    <w:rsid w:val="007F17C8"/>
    <w:rsid w:val="007F44D7"/>
    <w:rsid w:val="007F481E"/>
    <w:rsid w:val="007F5D35"/>
    <w:rsid w:val="007F76C7"/>
    <w:rsid w:val="008028DE"/>
    <w:rsid w:val="00804DDC"/>
    <w:rsid w:val="008055EF"/>
    <w:rsid w:val="00805680"/>
    <w:rsid w:val="0080701A"/>
    <w:rsid w:val="00815DD9"/>
    <w:rsid w:val="0081701C"/>
    <w:rsid w:val="00821380"/>
    <w:rsid w:val="008213A6"/>
    <w:rsid w:val="0082225F"/>
    <w:rsid w:val="008257B5"/>
    <w:rsid w:val="008271F7"/>
    <w:rsid w:val="00831B2A"/>
    <w:rsid w:val="00833970"/>
    <w:rsid w:val="00842988"/>
    <w:rsid w:val="008470F9"/>
    <w:rsid w:val="0084713A"/>
    <w:rsid w:val="0084787F"/>
    <w:rsid w:val="0085040C"/>
    <w:rsid w:val="008521D6"/>
    <w:rsid w:val="00853E55"/>
    <w:rsid w:val="008569D5"/>
    <w:rsid w:val="008570B3"/>
    <w:rsid w:val="00857B25"/>
    <w:rsid w:val="008610B2"/>
    <w:rsid w:val="00863B00"/>
    <w:rsid w:val="00864E6B"/>
    <w:rsid w:val="0086749D"/>
    <w:rsid w:val="008726FD"/>
    <w:rsid w:val="00876A78"/>
    <w:rsid w:val="00877271"/>
    <w:rsid w:val="00885030"/>
    <w:rsid w:val="00886FD2"/>
    <w:rsid w:val="008912BF"/>
    <w:rsid w:val="0089352A"/>
    <w:rsid w:val="00893B62"/>
    <w:rsid w:val="008948EF"/>
    <w:rsid w:val="008A4FE2"/>
    <w:rsid w:val="008A7B7F"/>
    <w:rsid w:val="008B5F4E"/>
    <w:rsid w:val="008C0BCC"/>
    <w:rsid w:val="008C24E9"/>
    <w:rsid w:val="008C509C"/>
    <w:rsid w:val="008D1B45"/>
    <w:rsid w:val="008D6A48"/>
    <w:rsid w:val="008E09D4"/>
    <w:rsid w:val="008E2321"/>
    <w:rsid w:val="008F03A0"/>
    <w:rsid w:val="008F087E"/>
    <w:rsid w:val="008F13BA"/>
    <w:rsid w:val="008F1480"/>
    <w:rsid w:val="008F14DD"/>
    <w:rsid w:val="008F2958"/>
    <w:rsid w:val="008F6280"/>
    <w:rsid w:val="008F7895"/>
    <w:rsid w:val="00902730"/>
    <w:rsid w:val="009044F8"/>
    <w:rsid w:val="009066C9"/>
    <w:rsid w:val="009127F6"/>
    <w:rsid w:val="00916FFB"/>
    <w:rsid w:val="0092004B"/>
    <w:rsid w:val="0092041F"/>
    <w:rsid w:val="00921C85"/>
    <w:rsid w:val="00923A88"/>
    <w:rsid w:val="009253BB"/>
    <w:rsid w:val="00926288"/>
    <w:rsid w:val="00926AD8"/>
    <w:rsid w:val="00933C12"/>
    <w:rsid w:val="00935756"/>
    <w:rsid w:val="00936E79"/>
    <w:rsid w:val="00940B8E"/>
    <w:rsid w:val="009440D4"/>
    <w:rsid w:val="00944D98"/>
    <w:rsid w:val="00947F62"/>
    <w:rsid w:val="00963A74"/>
    <w:rsid w:val="00964E93"/>
    <w:rsid w:val="00965B66"/>
    <w:rsid w:val="0096730A"/>
    <w:rsid w:val="0097094D"/>
    <w:rsid w:val="00973B5C"/>
    <w:rsid w:val="00976A45"/>
    <w:rsid w:val="00981985"/>
    <w:rsid w:val="00991AC2"/>
    <w:rsid w:val="00991EDF"/>
    <w:rsid w:val="0099447D"/>
    <w:rsid w:val="00994D4B"/>
    <w:rsid w:val="0099532F"/>
    <w:rsid w:val="009978A8"/>
    <w:rsid w:val="009A05CA"/>
    <w:rsid w:val="009A082B"/>
    <w:rsid w:val="009A4079"/>
    <w:rsid w:val="009A4475"/>
    <w:rsid w:val="009A760A"/>
    <w:rsid w:val="009B23A7"/>
    <w:rsid w:val="009B3ADA"/>
    <w:rsid w:val="009B3FAA"/>
    <w:rsid w:val="009B4CF3"/>
    <w:rsid w:val="009C2DB4"/>
    <w:rsid w:val="009C44C6"/>
    <w:rsid w:val="009D083E"/>
    <w:rsid w:val="009D2DD1"/>
    <w:rsid w:val="009D4104"/>
    <w:rsid w:val="009D4489"/>
    <w:rsid w:val="009D4FBE"/>
    <w:rsid w:val="009E1C30"/>
    <w:rsid w:val="009E4435"/>
    <w:rsid w:val="009E7ECD"/>
    <w:rsid w:val="009F188C"/>
    <w:rsid w:val="009F47DA"/>
    <w:rsid w:val="009F5656"/>
    <w:rsid w:val="009F606E"/>
    <w:rsid w:val="00A01995"/>
    <w:rsid w:val="00A0241C"/>
    <w:rsid w:val="00A027C0"/>
    <w:rsid w:val="00A03057"/>
    <w:rsid w:val="00A04B8A"/>
    <w:rsid w:val="00A055F7"/>
    <w:rsid w:val="00A05AFD"/>
    <w:rsid w:val="00A07729"/>
    <w:rsid w:val="00A07F8B"/>
    <w:rsid w:val="00A10B09"/>
    <w:rsid w:val="00A11E3D"/>
    <w:rsid w:val="00A12F51"/>
    <w:rsid w:val="00A149C9"/>
    <w:rsid w:val="00A17C1C"/>
    <w:rsid w:val="00A31D8E"/>
    <w:rsid w:val="00A3567A"/>
    <w:rsid w:val="00A40E91"/>
    <w:rsid w:val="00A44F43"/>
    <w:rsid w:val="00A45C29"/>
    <w:rsid w:val="00A501EA"/>
    <w:rsid w:val="00A574DA"/>
    <w:rsid w:val="00A57A39"/>
    <w:rsid w:val="00A618B8"/>
    <w:rsid w:val="00A6548D"/>
    <w:rsid w:val="00A658C5"/>
    <w:rsid w:val="00A66F26"/>
    <w:rsid w:val="00A74348"/>
    <w:rsid w:val="00A759E3"/>
    <w:rsid w:val="00A83678"/>
    <w:rsid w:val="00A850AD"/>
    <w:rsid w:val="00A85A11"/>
    <w:rsid w:val="00A8735B"/>
    <w:rsid w:val="00A91E89"/>
    <w:rsid w:val="00A923D7"/>
    <w:rsid w:val="00A933CC"/>
    <w:rsid w:val="00A95443"/>
    <w:rsid w:val="00AA16D0"/>
    <w:rsid w:val="00AA1B33"/>
    <w:rsid w:val="00AA1BE2"/>
    <w:rsid w:val="00AA208F"/>
    <w:rsid w:val="00AA6CF8"/>
    <w:rsid w:val="00AB0144"/>
    <w:rsid w:val="00AB13BB"/>
    <w:rsid w:val="00AB5A40"/>
    <w:rsid w:val="00AC1189"/>
    <w:rsid w:val="00AC17D0"/>
    <w:rsid w:val="00AC55A2"/>
    <w:rsid w:val="00AC5FD8"/>
    <w:rsid w:val="00AE2A0F"/>
    <w:rsid w:val="00AE7767"/>
    <w:rsid w:val="00AE7FED"/>
    <w:rsid w:val="00AF3AB2"/>
    <w:rsid w:val="00AF56AE"/>
    <w:rsid w:val="00B01060"/>
    <w:rsid w:val="00B04B70"/>
    <w:rsid w:val="00B066C1"/>
    <w:rsid w:val="00B06970"/>
    <w:rsid w:val="00B11808"/>
    <w:rsid w:val="00B12FA6"/>
    <w:rsid w:val="00B1527C"/>
    <w:rsid w:val="00B21112"/>
    <w:rsid w:val="00B217E9"/>
    <w:rsid w:val="00B265DC"/>
    <w:rsid w:val="00B3145E"/>
    <w:rsid w:val="00B33BEA"/>
    <w:rsid w:val="00B40B5B"/>
    <w:rsid w:val="00B43B5A"/>
    <w:rsid w:val="00B43C12"/>
    <w:rsid w:val="00B443AC"/>
    <w:rsid w:val="00B53456"/>
    <w:rsid w:val="00B60A29"/>
    <w:rsid w:val="00B61E0E"/>
    <w:rsid w:val="00B63B4D"/>
    <w:rsid w:val="00B63DB7"/>
    <w:rsid w:val="00B65D55"/>
    <w:rsid w:val="00B66F4F"/>
    <w:rsid w:val="00B700D9"/>
    <w:rsid w:val="00B70F2C"/>
    <w:rsid w:val="00B730D7"/>
    <w:rsid w:val="00B81D2F"/>
    <w:rsid w:val="00B82F77"/>
    <w:rsid w:val="00B83C2A"/>
    <w:rsid w:val="00B930E1"/>
    <w:rsid w:val="00B93269"/>
    <w:rsid w:val="00B94034"/>
    <w:rsid w:val="00B97FAA"/>
    <w:rsid w:val="00BA56A4"/>
    <w:rsid w:val="00BB0596"/>
    <w:rsid w:val="00BB0837"/>
    <w:rsid w:val="00BB208C"/>
    <w:rsid w:val="00BB6A5E"/>
    <w:rsid w:val="00BC25F2"/>
    <w:rsid w:val="00BC763E"/>
    <w:rsid w:val="00BD2589"/>
    <w:rsid w:val="00BD360F"/>
    <w:rsid w:val="00BD39ED"/>
    <w:rsid w:val="00BD68BD"/>
    <w:rsid w:val="00BD7CB4"/>
    <w:rsid w:val="00BE13C7"/>
    <w:rsid w:val="00BE2BBF"/>
    <w:rsid w:val="00BF0B96"/>
    <w:rsid w:val="00C04C0B"/>
    <w:rsid w:val="00C148DB"/>
    <w:rsid w:val="00C2067B"/>
    <w:rsid w:val="00C22790"/>
    <w:rsid w:val="00C25DC0"/>
    <w:rsid w:val="00C2690F"/>
    <w:rsid w:val="00C30247"/>
    <w:rsid w:val="00C35DB7"/>
    <w:rsid w:val="00C35DBF"/>
    <w:rsid w:val="00C40F38"/>
    <w:rsid w:val="00C42B0C"/>
    <w:rsid w:val="00C435B7"/>
    <w:rsid w:val="00C60E65"/>
    <w:rsid w:val="00C60FEA"/>
    <w:rsid w:val="00C648AE"/>
    <w:rsid w:val="00C64CF2"/>
    <w:rsid w:val="00C64E36"/>
    <w:rsid w:val="00C66CA0"/>
    <w:rsid w:val="00C7149D"/>
    <w:rsid w:val="00C7225B"/>
    <w:rsid w:val="00C733B6"/>
    <w:rsid w:val="00C76454"/>
    <w:rsid w:val="00C8218E"/>
    <w:rsid w:val="00C8265D"/>
    <w:rsid w:val="00C8278C"/>
    <w:rsid w:val="00C8567E"/>
    <w:rsid w:val="00C87A34"/>
    <w:rsid w:val="00C9188D"/>
    <w:rsid w:val="00C91D99"/>
    <w:rsid w:val="00C91F4F"/>
    <w:rsid w:val="00C96804"/>
    <w:rsid w:val="00CA18F9"/>
    <w:rsid w:val="00CA1A34"/>
    <w:rsid w:val="00CA5815"/>
    <w:rsid w:val="00CA7B5D"/>
    <w:rsid w:val="00CB0A6F"/>
    <w:rsid w:val="00CB4175"/>
    <w:rsid w:val="00CB5AB0"/>
    <w:rsid w:val="00CB5DB0"/>
    <w:rsid w:val="00CC1245"/>
    <w:rsid w:val="00CC1B33"/>
    <w:rsid w:val="00CC6316"/>
    <w:rsid w:val="00CC6ABA"/>
    <w:rsid w:val="00CD1F8F"/>
    <w:rsid w:val="00CD2997"/>
    <w:rsid w:val="00CD2ED7"/>
    <w:rsid w:val="00CD6A01"/>
    <w:rsid w:val="00CD7B27"/>
    <w:rsid w:val="00CF20A2"/>
    <w:rsid w:val="00CF2103"/>
    <w:rsid w:val="00CF310E"/>
    <w:rsid w:val="00CF69B3"/>
    <w:rsid w:val="00D06A7B"/>
    <w:rsid w:val="00D136C6"/>
    <w:rsid w:val="00D17BAD"/>
    <w:rsid w:val="00D227B9"/>
    <w:rsid w:val="00D22F3D"/>
    <w:rsid w:val="00D32DAA"/>
    <w:rsid w:val="00D3320A"/>
    <w:rsid w:val="00D34CE6"/>
    <w:rsid w:val="00D35F53"/>
    <w:rsid w:val="00D36134"/>
    <w:rsid w:val="00D410FF"/>
    <w:rsid w:val="00D42A02"/>
    <w:rsid w:val="00D43BF1"/>
    <w:rsid w:val="00D45C8E"/>
    <w:rsid w:val="00D46160"/>
    <w:rsid w:val="00D47052"/>
    <w:rsid w:val="00D472CB"/>
    <w:rsid w:val="00D60F9C"/>
    <w:rsid w:val="00D66AEE"/>
    <w:rsid w:val="00D77679"/>
    <w:rsid w:val="00D8043A"/>
    <w:rsid w:val="00D91536"/>
    <w:rsid w:val="00D9168E"/>
    <w:rsid w:val="00D92019"/>
    <w:rsid w:val="00D97DF9"/>
    <w:rsid w:val="00DA112E"/>
    <w:rsid w:val="00DA725A"/>
    <w:rsid w:val="00DB026E"/>
    <w:rsid w:val="00DC5036"/>
    <w:rsid w:val="00DC57FC"/>
    <w:rsid w:val="00DC6159"/>
    <w:rsid w:val="00DC6708"/>
    <w:rsid w:val="00DC7AD8"/>
    <w:rsid w:val="00DD0181"/>
    <w:rsid w:val="00DD2FAF"/>
    <w:rsid w:val="00DD43BF"/>
    <w:rsid w:val="00DD49E6"/>
    <w:rsid w:val="00DE34B1"/>
    <w:rsid w:val="00DE3544"/>
    <w:rsid w:val="00DE389B"/>
    <w:rsid w:val="00DE3C31"/>
    <w:rsid w:val="00DE6093"/>
    <w:rsid w:val="00DF0691"/>
    <w:rsid w:val="00DF1DD7"/>
    <w:rsid w:val="00DF4019"/>
    <w:rsid w:val="00DF48B4"/>
    <w:rsid w:val="00DF4AF8"/>
    <w:rsid w:val="00DF56A7"/>
    <w:rsid w:val="00E01B82"/>
    <w:rsid w:val="00E0479A"/>
    <w:rsid w:val="00E0551B"/>
    <w:rsid w:val="00E11FB0"/>
    <w:rsid w:val="00E13CE9"/>
    <w:rsid w:val="00E24B6A"/>
    <w:rsid w:val="00E27A4B"/>
    <w:rsid w:val="00E31A17"/>
    <w:rsid w:val="00E3246D"/>
    <w:rsid w:val="00E32E73"/>
    <w:rsid w:val="00E36C72"/>
    <w:rsid w:val="00E407AF"/>
    <w:rsid w:val="00E40D43"/>
    <w:rsid w:val="00E41832"/>
    <w:rsid w:val="00E41CCB"/>
    <w:rsid w:val="00E519B1"/>
    <w:rsid w:val="00E52817"/>
    <w:rsid w:val="00E52EDE"/>
    <w:rsid w:val="00E55C9D"/>
    <w:rsid w:val="00E56B64"/>
    <w:rsid w:val="00E65735"/>
    <w:rsid w:val="00E725E5"/>
    <w:rsid w:val="00E73890"/>
    <w:rsid w:val="00E74364"/>
    <w:rsid w:val="00E75259"/>
    <w:rsid w:val="00E8079F"/>
    <w:rsid w:val="00E817A8"/>
    <w:rsid w:val="00E8431B"/>
    <w:rsid w:val="00E8509A"/>
    <w:rsid w:val="00E8555A"/>
    <w:rsid w:val="00E901CF"/>
    <w:rsid w:val="00E91656"/>
    <w:rsid w:val="00E91870"/>
    <w:rsid w:val="00E91B05"/>
    <w:rsid w:val="00E91E4E"/>
    <w:rsid w:val="00E92288"/>
    <w:rsid w:val="00E92F8B"/>
    <w:rsid w:val="00E95F72"/>
    <w:rsid w:val="00E978A9"/>
    <w:rsid w:val="00EA088C"/>
    <w:rsid w:val="00EA1EF9"/>
    <w:rsid w:val="00EA229C"/>
    <w:rsid w:val="00EA25BF"/>
    <w:rsid w:val="00EA287B"/>
    <w:rsid w:val="00EA3327"/>
    <w:rsid w:val="00EA4676"/>
    <w:rsid w:val="00EA4E76"/>
    <w:rsid w:val="00EA5B8A"/>
    <w:rsid w:val="00EB22F3"/>
    <w:rsid w:val="00EB286E"/>
    <w:rsid w:val="00EC1E88"/>
    <w:rsid w:val="00EC3D35"/>
    <w:rsid w:val="00ED2ED7"/>
    <w:rsid w:val="00ED3874"/>
    <w:rsid w:val="00ED624C"/>
    <w:rsid w:val="00ED65E3"/>
    <w:rsid w:val="00ED74B4"/>
    <w:rsid w:val="00ED76A6"/>
    <w:rsid w:val="00ED7BC5"/>
    <w:rsid w:val="00ED7F16"/>
    <w:rsid w:val="00EE0051"/>
    <w:rsid w:val="00EE3AC2"/>
    <w:rsid w:val="00EE408D"/>
    <w:rsid w:val="00EE441A"/>
    <w:rsid w:val="00EF539B"/>
    <w:rsid w:val="00F00986"/>
    <w:rsid w:val="00F030BF"/>
    <w:rsid w:val="00F03D9C"/>
    <w:rsid w:val="00F04CB0"/>
    <w:rsid w:val="00F07137"/>
    <w:rsid w:val="00F11607"/>
    <w:rsid w:val="00F13C99"/>
    <w:rsid w:val="00F23E99"/>
    <w:rsid w:val="00F25040"/>
    <w:rsid w:val="00F3049C"/>
    <w:rsid w:val="00F339D6"/>
    <w:rsid w:val="00F34283"/>
    <w:rsid w:val="00F3451A"/>
    <w:rsid w:val="00F37AE5"/>
    <w:rsid w:val="00F42104"/>
    <w:rsid w:val="00F42166"/>
    <w:rsid w:val="00F42387"/>
    <w:rsid w:val="00F53330"/>
    <w:rsid w:val="00F53CE2"/>
    <w:rsid w:val="00F55295"/>
    <w:rsid w:val="00F5580C"/>
    <w:rsid w:val="00F60126"/>
    <w:rsid w:val="00F63270"/>
    <w:rsid w:val="00F636F3"/>
    <w:rsid w:val="00F63A35"/>
    <w:rsid w:val="00F63D1B"/>
    <w:rsid w:val="00F63D3F"/>
    <w:rsid w:val="00F654FE"/>
    <w:rsid w:val="00F676C1"/>
    <w:rsid w:val="00F72198"/>
    <w:rsid w:val="00F774F3"/>
    <w:rsid w:val="00F77679"/>
    <w:rsid w:val="00F824C4"/>
    <w:rsid w:val="00F83C50"/>
    <w:rsid w:val="00F847E4"/>
    <w:rsid w:val="00F84D93"/>
    <w:rsid w:val="00F86369"/>
    <w:rsid w:val="00F91C08"/>
    <w:rsid w:val="00F94411"/>
    <w:rsid w:val="00F97696"/>
    <w:rsid w:val="00FA000F"/>
    <w:rsid w:val="00FA19E3"/>
    <w:rsid w:val="00FA2EA2"/>
    <w:rsid w:val="00FA4C39"/>
    <w:rsid w:val="00FA54AD"/>
    <w:rsid w:val="00FA7B59"/>
    <w:rsid w:val="00FB08FC"/>
    <w:rsid w:val="00FB1756"/>
    <w:rsid w:val="00FB33D5"/>
    <w:rsid w:val="00FB5A4A"/>
    <w:rsid w:val="00FC737B"/>
    <w:rsid w:val="00FD0786"/>
    <w:rsid w:val="00FD1FC1"/>
    <w:rsid w:val="00FD4D93"/>
    <w:rsid w:val="00FD6C46"/>
    <w:rsid w:val="00FD7F17"/>
    <w:rsid w:val="00FE15BC"/>
    <w:rsid w:val="00FE1E24"/>
    <w:rsid w:val="00FE31E4"/>
    <w:rsid w:val="00FE7627"/>
    <w:rsid w:val="00FF372F"/>
    <w:rsid w:val="00FF3A1F"/>
    <w:rsid w:val="00FF73D1"/>
    <w:rsid w:val="00FF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7B4A"/>
    <w:pPr>
      <w:ind w:left="720"/>
      <w:contextualSpacing/>
    </w:pPr>
  </w:style>
  <w:style w:type="paragraph" w:styleId="Testonotaapidipagina">
    <w:name w:val="footnote text"/>
    <w:basedOn w:val="Normale"/>
    <w:link w:val="TestonotaapidipaginaCarattere"/>
    <w:uiPriority w:val="99"/>
    <w:semiHidden/>
    <w:unhideWhenUsed/>
    <w:rsid w:val="008471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713A"/>
    <w:rPr>
      <w:sz w:val="20"/>
      <w:szCs w:val="20"/>
    </w:rPr>
  </w:style>
  <w:style w:type="character" w:styleId="Rimandonotaapidipagina">
    <w:name w:val="footnote reference"/>
    <w:basedOn w:val="Carpredefinitoparagrafo"/>
    <w:uiPriority w:val="99"/>
    <w:semiHidden/>
    <w:unhideWhenUsed/>
    <w:rsid w:val="0084713A"/>
    <w:rPr>
      <w:vertAlign w:val="superscript"/>
    </w:rPr>
  </w:style>
  <w:style w:type="paragraph" w:customStyle="1" w:styleId="Default">
    <w:name w:val="Default"/>
    <w:rsid w:val="008F14DD"/>
    <w:pPr>
      <w:autoSpaceDE w:val="0"/>
      <w:autoSpaceDN w:val="0"/>
      <w:adjustRightInd w:val="0"/>
      <w:spacing w:after="0" w:line="240" w:lineRule="auto"/>
    </w:pPr>
    <w:rPr>
      <w:rFonts w:ascii="Georgia" w:eastAsiaTheme="minorEastAsia" w:hAnsi="Georgia" w:cs="Georgia"/>
      <w:color w:val="000000"/>
      <w:sz w:val="24"/>
      <w:szCs w:val="24"/>
    </w:rPr>
  </w:style>
  <w:style w:type="character" w:styleId="Collegamentoipertestuale">
    <w:name w:val="Hyperlink"/>
    <w:basedOn w:val="Carpredefinitoparagrafo"/>
    <w:uiPriority w:val="99"/>
    <w:unhideWhenUsed/>
    <w:rsid w:val="009B4CF3"/>
    <w:rPr>
      <w:color w:val="0000FF" w:themeColor="hyperlink"/>
      <w:u w:val="single"/>
    </w:rPr>
  </w:style>
  <w:style w:type="paragraph" w:styleId="Intestazione">
    <w:name w:val="header"/>
    <w:basedOn w:val="Normale"/>
    <w:link w:val="IntestazioneCarattere"/>
    <w:uiPriority w:val="99"/>
    <w:unhideWhenUsed/>
    <w:rsid w:val="00400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77C"/>
  </w:style>
  <w:style w:type="paragraph" w:styleId="Pidipagina">
    <w:name w:val="footer"/>
    <w:basedOn w:val="Normale"/>
    <w:link w:val="PidipaginaCarattere"/>
    <w:uiPriority w:val="99"/>
    <w:unhideWhenUsed/>
    <w:rsid w:val="00400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77C"/>
  </w:style>
  <w:style w:type="paragraph" w:styleId="Testofumetto">
    <w:name w:val="Balloon Text"/>
    <w:basedOn w:val="Normale"/>
    <w:link w:val="TestofumettoCarattere"/>
    <w:uiPriority w:val="99"/>
    <w:semiHidden/>
    <w:unhideWhenUsed/>
    <w:rsid w:val="00016B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D7"/>
    <w:rPr>
      <w:rFonts w:ascii="Tahoma" w:hAnsi="Tahoma" w:cs="Tahoma"/>
      <w:sz w:val="16"/>
      <w:szCs w:val="16"/>
    </w:rPr>
  </w:style>
  <w:style w:type="paragraph" w:styleId="NormaleWeb">
    <w:name w:val="Normal (Web)"/>
    <w:basedOn w:val="Normale"/>
    <w:uiPriority w:val="99"/>
    <w:unhideWhenUsed/>
    <w:rsid w:val="005C5F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COMM">
    <w:name w:val="TESTOCOMM"/>
    <w:basedOn w:val="Normale"/>
    <w:rsid w:val="0096730A"/>
    <w:pPr>
      <w:spacing w:after="0" w:line="265" w:lineRule="exact"/>
      <w:ind w:firstLine="340"/>
      <w:jc w:val="both"/>
    </w:pPr>
    <w:rPr>
      <w:rFonts w:ascii="Times New Roman" w:eastAsia="Times New Roman" w:hAnsi="Times New Roman" w:cs="Times New Roman"/>
      <w:sz w:val="21"/>
      <w:szCs w:val="21"/>
      <w:lang w:eastAsia="ar-SA"/>
    </w:rPr>
  </w:style>
  <w:style w:type="paragraph" w:customStyle="1" w:styleId="TITCOMM">
    <w:name w:val="TITCOMM"/>
    <w:basedOn w:val="Normale"/>
    <w:rsid w:val="0096730A"/>
    <w:pPr>
      <w:widowControl w:val="0"/>
      <w:autoSpaceDE w:val="0"/>
      <w:autoSpaceDN w:val="0"/>
      <w:adjustRightInd w:val="0"/>
      <w:spacing w:before="512" w:after="0" w:line="240" w:lineRule="auto"/>
      <w:jc w:val="center"/>
    </w:pPr>
    <w:rPr>
      <w:rFonts w:ascii="Times New Roman" w:eastAsia="Times New Roman" w:hAnsi="Times New Roman" w:cs="Times New Roman"/>
      <w:sz w:val="21"/>
      <w:szCs w:val="21"/>
      <w:lang w:eastAsia="it-IT"/>
    </w:rPr>
  </w:style>
  <w:style w:type="paragraph" w:customStyle="1" w:styleId="SOMMARIO">
    <w:name w:val="SOMMARIO"/>
    <w:basedOn w:val="Normale"/>
    <w:rsid w:val="0096730A"/>
    <w:pPr>
      <w:spacing w:before="360" w:after="0" w:line="240" w:lineRule="auto"/>
      <w:ind w:left="284" w:hanging="284"/>
      <w:jc w:val="both"/>
    </w:pPr>
    <w:rPr>
      <w:rFonts w:ascii="Times New Roman" w:eastAsia="Times New Roman" w:hAnsi="Times New Roman" w:cs="Times New Roman"/>
      <w:sz w:val="21"/>
      <w:szCs w:val="21"/>
      <w:lang w:eastAsia="it-IT"/>
    </w:rPr>
  </w:style>
  <w:style w:type="paragraph" w:customStyle="1" w:styleId="liscio">
    <w:name w:val="liscio"/>
    <w:basedOn w:val="Normale"/>
    <w:rsid w:val="00D35F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abel">
    <w:name w:val="label"/>
    <w:basedOn w:val="Carpredefinitoparagrafo"/>
    <w:rsid w:val="00AE2A0F"/>
    <w:rPr>
      <w:i/>
      <w:iCs/>
    </w:rPr>
  </w:style>
  <w:style w:type="character" w:customStyle="1" w:styleId="alr-costsn">
    <w:name w:val="alr-costsn"/>
    <w:basedOn w:val="Carpredefinitoparagrafo"/>
    <w:rsid w:val="00AE2A0F"/>
    <w:rPr>
      <w:color w:val="FF0000"/>
    </w:rPr>
  </w:style>
  <w:style w:type="character" w:customStyle="1" w:styleId="risultato">
    <w:name w:val="risultato"/>
    <w:basedOn w:val="Carpredefinitoparagrafo"/>
    <w:rsid w:val="00AE2A0F"/>
  </w:style>
  <w:style w:type="character" w:customStyle="1" w:styleId="liscio1">
    <w:name w:val="liscio1"/>
    <w:basedOn w:val="Carpredefinitoparagrafo"/>
    <w:rsid w:val="00AE2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7B4A"/>
    <w:pPr>
      <w:ind w:left="720"/>
      <w:contextualSpacing/>
    </w:pPr>
  </w:style>
  <w:style w:type="paragraph" w:styleId="Testonotaapidipagina">
    <w:name w:val="footnote text"/>
    <w:basedOn w:val="Normale"/>
    <w:link w:val="TestonotaapidipaginaCarattere"/>
    <w:uiPriority w:val="99"/>
    <w:semiHidden/>
    <w:unhideWhenUsed/>
    <w:rsid w:val="008471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713A"/>
    <w:rPr>
      <w:sz w:val="20"/>
      <w:szCs w:val="20"/>
    </w:rPr>
  </w:style>
  <w:style w:type="character" w:styleId="Rimandonotaapidipagina">
    <w:name w:val="footnote reference"/>
    <w:basedOn w:val="Carpredefinitoparagrafo"/>
    <w:uiPriority w:val="99"/>
    <w:semiHidden/>
    <w:unhideWhenUsed/>
    <w:rsid w:val="0084713A"/>
    <w:rPr>
      <w:vertAlign w:val="superscript"/>
    </w:rPr>
  </w:style>
  <w:style w:type="paragraph" w:customStyle="1" w:styleId="Default">
    <w:name w:val="Default"/>
    <w:rsid w:val="008F14DD"/>
    <w:pPr>
      <w:autoSpaceDE w:val="0"/>
      <w:autoSpaceDN w:val="0"/>
      <w:adjustRightInd w:val="0"/>
      <w:spacing w:after="0" w:line="240" w:lineRule="auto"/>
    </w:pPr>
    <w:rPr>
      <w:rFonts w:ascii="Georgia" w:eastAsiaTheme="minorEastAsia" w:hAnsi="Georgia" w:cs="Georgia"/>
      <w:color w:val="000000"/>
      <w:sz w:val="24"/>
      <w:szCs w:val="24"/>
    </w:rPr>
  </w:style>
  <w:style w:type="character" w:styleId="Collegamentoipertestuale">
    <w:name w:val="Hyperlink"/>
    <w:basedOn w:val="Carpredefinitoparagrafo"/>
    <w:uiPriority w:val="99"/>
    <w:unhideWhenUsed/>
    <w:rsid w:val="009B4CF3"/>
    <w:rPr>
      <w:color w:val="0000FF" w:themeColor="hyperlink"/>
      <w:u w:val="single"/>
    </w:rPr>
  </w:style>
  <w:style w:type="paragraph" w:styleId="Intestazione">
    <w:name w:val="header"/>
    <w:basedOn w:val="Normale"/>
    <w:link w:val="IntestazioneCarattere"/>
    <w:uiPriority w:val="99"/>
    <w:unhideWhenUsed/>
    <w:rsid w:val="00400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77C"/>
  </w:style>
  <w:style w:type="paragraph" w:styleId="Pidipagina">
    <w:name w:val="footer"/>
    <w:basedOn w:val="Normale"/>
    <w:link w:val="PidipaginaCarattere"/>
    <w:uiPriority w:val="99"/>
    <w:unhideWhenUsed/>
    <w:rsid w:val="00400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77C"/>
  </w:style>
  <w:style w:type="paragraph" w:styleId="Testofumetto">
    <w:name w:val="Balloon Text"/>
    <w:basedOn w:val="Normale"/>
    <w:link w:val="TestofumettoCarattere"/>
    <w:uiPriority w:val="99"/>
    <w:semiHidden/>
    <w:unhideWhenUsed/>
    <w:rsid w:val="00016B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D7"/>
    <w:rPr>
      <w:rFonts w:ascii="Tahoma" w:hAnsi="Tahoma" w:cs="Tahoma"/>
      <w:sz w:val="16"/>
      <w:szCs w:val="16"/>
    </w:rPr>
  </w:style>
  <w:style w:type="paragraph" w:styleId="NormaleWeb">
    <w:name w:val="Normal (Web)"/>
    <w:basedOn w:val="Normale"/>
    <w:uiPriority w:val="99"/>
    <w:unhideWhenUsed/>
    <w:rsid w:val="005C5F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COMM">
    <w:name w:val="TESTOCOMM"/>
    <w:basedOn w:val="Normale"/>
    <w:rsid w:val="0096730A"/>
    <w:pPr>
      <w:spacing w:after="0" w:line="265" w:lineRule="exact"/>
      <w:ind w:firstLine="340"/>
      <w:jc w:val="both"/>
    </w:pPr>
    <w:rPr>
      <w:rFonts w:ascii="Times New Roman" w:eastAsia="Times New Roman" w:hAnsi="Times New Roman" w:cs="Times New Roman"/>
      <w:sz w:val="21"/>
      <w:szCs w:val="21"/>
      <w:lang w:eastAsia="ar-SA"/>
    </w:rPr>
  </w:style>
  <w:style w:type="paragraph" w:customStyle="1" w:styleId="TITCOMM">
    <w:name w:val="TITCOMM"/>
    <w:basedOn w:val="Normale"/>
    <w:rsid w:val="0096730A"/>
    <w:pPr>
      <w:widowControl w:val="0"/>
      <w:autoSpaceDE w:val="0"/>
      <w:autoSpaceDN w:val="0"/>
      <w:adjustRightInd w:val="0"/>
      <w:spacing w:before="512" w:after="0" w:line="240" w:lineRule="auto"/>
      <w:jc w:val="center"/>
    </w:pPr>
    <w:rPr>
      <w:rFonts w:ascii="Times New Roman" w:eastAsia="Times New Roman" w:hAnsi="Times New Roman" w:cs="Times New Roman"/>
      <w:sz w:val="21"/>
      <w:szCs w:val="21"/>
      <w:lang w:eastAsia="it-IT"/>
    </w:rPr>
  </w:style>
  <w:style w:type="paragraph" w:customStyle="1" w:styleId="SOMMARIO">
    <w:name w:val="SOMMARIO"/>
    <w:basedOn w:val="Normale"/>
    <w:rsid w:val="0096730A"/>
    <w:pPr>
      <w:spacing w:before="360" w:after="0" w:line="240" w:lineRule="auto"/>
      <w:ind w:left="284" w:hanging="284"/>
      <w:jc w:val="both"/>
    </w:pPr>
    <w:rPr>
      <w:rFonts w:ascii="Times New Roman" w:eastAsia="Times New Roman" w:hAnsi="Times New Roman" w:cs="Times New Roman"/>
      <w:sz w:val="21"/>
      <w:szCs w:val="21"/>
      <w:lang w:eastAsia="it-IT"/>
    </w:rPr>
  </w:style>
  <w:style w:type="paragraph" w:customStyle="1" w:styleId="liscio">
    <w:name w:val="liscio"/>
    <w:basedOn w:val="Normale"/>
    <w:rsid w:val="00D35F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abel">
    <w:name w:val="label"/>
    <w:basedOn w:val="Carpredefinitoparagrafo"/>
    <w:rsid w:val="00AE2A0F"/>
    <w:rPr>
      <w:i/>
      <w:iCs/>
    </w:rPr>
  </w:style>
  <w:style w:type="character" w:customStyle="1" w:styleId="alr-costsn">
    <w:name w:val="alr-costsn"/>
    <w:basedOn w:val="Carpredefinitoparagrafo"/>
    <w:rsid w:val="00AE2A0F"/>
    <w:rPr>
      <w:color w:val="FF0000"/>
    </w:rPr>
  </w:style>
  <w:style w:type="character" w:customStyle="1" w:styleId="risultato">
    <w:name w:val="risultato"/>
    <w:basedOn w:val="Carpredefinitoparagrafo"/>
    <w:rsid w:val="00AE2A0F"/>
  </w:style>
  <w:style w:type="character" w:customStyle="1" w:styleId="liscio1">
    <w:name w:val="liscio1"/>
    <w:basedOn w:val="Carpredefinitoparagrafo"/>
    <w:rsid w:val="00AE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36653">
      <w:bodyDiv w:val="1"/>
      <w:marLeft w:val="0"/>
      <w:marRight w:val="0"/>
      <w:marTop w:val="0"/>
      <w:marBottom w:val="0"/>
      <w:divBdr>
        <w:top w:val="none" w:sz="0" w:space="0" w:color="auto"/>
        <w:left w:val="none" w:sz="0" w:space="0" w:color="auto"/>
        <w:bottom w:val="none" w:sz="0" w:space="0" w:color="auto"/>
        <w:right w:val="none" w:sz="0" w:space="0" w:color="auto"/>
      </w:divBdr>
      <w:divsChild>
        <w:div w:id="1071079749">
          <w:marLeft w:val="0"/>
          <w:marRight w:val="0"/>
          <w:marTop w:val="1080"/>
          <w:marBottom w:val="0"/>
          <w:divBdr>
            <w:top w:val="none" w:sz="0" w:space="0" w:color="auto"/>
            <w:left w:val="none" w:sz="0" w:space="0" w:color="auto"/>
            <w:bottom w:val="none" w:sz="0" w:space="0" w:color="auto"/>
            <w:right w:val="none" w:sz="0" w:space="0" w:color="auto"/>
          </w:divBdr>
          <w:divsChild>
            <w:div w:id="381056996">
              <w:marLeft w:val="0"/>
              <w:marRight w:val="0"/>
              <w:marTop w:val="0"/>
              <w:marBottom w:val="0"/>
              <w:divBdr>
                <w:top w:val="none" w:sz="0" w:space="0" w:color="auto"/>
                <w:left w:val="none" w:sz="0" w:space="0" w:color="auto"/>
                <w:bottom w:val="none" w:sz="0" w:space="0" w:color="auto"/>
                <w:right w:val="none" w:sz="0" w:space="0" w:color="auto"/>
              </w:divBdr>
              <w:divsChild>
                <w:div w:id="1360089448">
                  <w:marLeft w:val="0"/>
                  <w:marRight w:val="0"/>
                  <w:marTop w:val="0"/>
                  <w:marBottom w:val="0"/>
                  <w:divBdr>
                    <w:top w:val="none" w:sz="0" w:space="0" w:color="auto"/>
                    <w:left w:val="none" w:sz="0" w:space="0" w:color="auto"/>
                    <w:bottom w:val="none" w:sz="0" w:space="0" w:color="auto"/>
                    <w:right w:val="none" w:sz="0" w:space="0" w:color="auto"/>
                  </w:divBdr>
                  <w:divsChild>
                    <w:div w:id="459425585">
                      <w:marLeft w:val="0"/>
                      <w:marRight w:val="0"/>
                      <w:marTop w:val="0"/>
                      <w:marBottom w:val="0"/>
                      <w:divBdr>
                        <w:top w:val="none" w:sz="0" w:space="0" w:color="auto"/>
                        <w:left w:val="none" w:sz="0" w:space="0" w:color="auto"/>
                        <w:bottom w:val="none" w:sz="0" w:space="0" w:color="auto"/>
                        <w:right w:val="none" w:sz="0" w:space="0" w:color="auto"/>
                      </w:divBdr>
                      <w:divsChild>
                        <w:div w:id="1279290600">
                          <w:marLeft w:val="0"/>
                          <w:marRight w:val="0"/>
                          <w:marTop w:val="0"/>
                          <w:marBottom w:val="0"/>
                          <w:divBdr>
                            <w:top w:val="none" w:sz="0" w:space="0" w:color="auto"/>
                            <w:left w:val="none" w:sz="0" w:space="0" w:color="auto"/>
                            <w:bottom w:val="none" w:sz="0" w:space="0" w:color="auto"/>
                            <w:right w:val="none" w:sz="0" w:space="0" w:color="auto"/>
                          </w:divBdr>
                          <w:divsChild>
                            <w:div w:id="7599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4180">
      <w:bodyDiv w:val="1"/>
      <w:marLeft w:val="0"/>
      <w:marRight w:val="0"/>
      <w:marTop w:val="0"/>
      <w:marBottom w:val="0"/>
      <w:divBdr>
        <w:top w:val="none" w:sz="0" w:space="0" w:color="auto"/>
        <w:left w:val="none" w:sz="0" w:space="0" w:color="auto"/>
        <w:bottom w:val="none" w:sz="0" w:space="0" w:color="auto"/>
        <w:right w:val="none" w:sz="0" w:space="0" w:color="auto"/>
      </w:divBdr>
      <w:divsChild>
        <w:div w:id="1421295232">
          <w:marLeft w:val="0"/>
          <w:marRight w:val="0"/>
          <w:marTop w:val="1080"/>
          <w:marBottom w:val="0"/>
          <w:divBdr>
            <w:top w:val="none" w:sz="0" w:space="0" w:color="auto"/>
            <w:left w:val="none" w:sz="0" w:space="0" w:color="auto"/>
            <w:bottom w:val="none" w:sz="0" w:space="0" w:color="auto"/>
            <w:right w:val="none" w:sz="0" w:space="0" w:color="auto"/>
          </w:divBdr>
          <w:divsChild>
            <w:div w:id="523708606">
              <w:marLeft w:val="0"/>
              <w:marRight w:val="0"/>
              <w:marTop w:val="0"/>
              <w:marBottom w:val="0"/>
              <w:divBdr>
                <w:top w:val="none" w:sz="0" w:space="0" w:color="auto"/>
                <w:left w:val="none" w:sz="0" w:space="0" w:color="auto"/>
                <w:bottom w:val="none" w:sz="0" w:space="0" w:color="auto"/>
                <w:right w:val="none" w:sz="0" w:space="0" w:color="auto"/>
              </w:divBdr>
              <w:divsChild>
                <w:div w:id="741413296">
                  <w:marLeft w:val="0"/>
                  <w:marRight w:val="0"/>
                  <w:marTop w:val="0"/>
                  <w:marBottom w:val="0"/>
                  <w:divBdr>
                    <w:top w:val="none" w:sz="0" w:space="0" w:color="auto"/>
                    <w:left w:val="none" w:sz="0" w:space="0" w:color="auto"/>
                    <w:bottom w:val="none" w:sz="0" w:space="0" w:color="auto"/>
                    <w:right w:val="none" w:sz="0" w:space="0" w:color="auto"/>
                  </w:divBdr>
                  <w:divsChild>
                    <w:div w:id="1136339742">
                      <w:marLeft w:val="0"/>
                      <w:marRight w:val="0"/>
                      <w:marTop w:val="0"/>
                      <w:marBottom w:val="0"/>
                      <w:divBdr>
                        <w:top w:val="none" w:sz="0" w:space="0" w:color="auto"/>
                        <w:left w:val="none" w:sz="0" w:space="0" w:color="auto"/>
                        <w:bottom w:val="none" w:sz="0" w:space="0" w:color="auto"/>
                        <w:right w:val="none" w:sz="0" w:space="0" w:color="auto"/>
                      </w:divBdr>
                      <w:divsChild>
                        <w:div w:id="1223367500">
                          <w:marLeft w:val="0"/>
                          <w:marRight w:val="0"/>
                          <w:marTop w:val="0"/>
                          <w:marBottom w:val="0"/>
                          <w:divBdr>
                            <w:top w:val="none" w:sz="0" w:space="0" w:color="auto"/>
                            <w:left w:val="none" w:sz="0" w:space="0" w:color="auto"/>
                            <w:bottom w:val="none" w:sz="0" w:space="0" w:color="auto"/>
                            <w:right w:val="none" w:sz="0" w:space="0" w:color="auto"/>
                          </w:divBdr>
                          <w:divsChild>
                            <w:div w:id="13243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147955">
      <w:bodyDiv w:val="1"/>
      <w:marLeft w:val="0"/>
      <w:marRight w:val="0"/>
      <w:marTop w:val="0"/>
      <w:marBottom w:val="0"/>
      <w:divBdr>
        <w:top w:val="none" w:sz="0" w:space="0" w:color="auto"/>
        <w:left w:val="none" w:sz="0" w:space="0" w:color="auto"/>
        <w:bottom w:val="none" w:sz="0" w:space="0" w:color="auto"/>
        <w:right w:val="none" w:sz="0" w:space="0" w:color="auto"/>
      </w:divBdr>
      <w:divsChild>
        <w:div w:id="40834542">
          <w:marLeft w:val="0"/>
          <w:marRight w:val="0"/>
          <w:marTop w:val="1080"/>
          <w:marBottom w:val="0"/>
          <w:divBdr>
            <w:top w:val="none" w:sz="0" w:space="0" w:color="auto"/>
            <w:left w:val="none" w:sz="0" w:space="0" w:color="auto"/>
            <w:bottom w:val="none" w:sz="0" w:space="0" w:color="auto"/>
            <w:right w:val="none" w:sz="0" w:space="0" w:color="auto"/>
          </w:divBdr>
          <w:divsChild>
            <w:div w:id="1064330067">
              <w:marLeft w:val="0"/>
              <w:marRight w:val="0"/>
              <w:marTop w:val="0"/>
              <w:marBottom w:val="0"/>
              <w:divBdr>
                <w:top w:val="none" w:sz="0" w:space="0" w:color="auto"/>
                <w:left w:val="none" w:sz="0" w:space="0" w:color="auto"/>
                <w:bottom w:val="none" w:sz="0" w:space="0" w:color="auto"/>
                <w:right w:val="none" w:sz="0" w:space="0" w:color="auto"/>
              </w:divBdr>
              <w:divsChild>
                <w:div w:id="1344286638">
                  <w:marLeft w:val="0"/>
                  <w:marRight w:val="0"/>
                  <w:marTop w:val="0"/>
                  <w:marBottom w:val="0"/>
                  <w:divBdr>
                    <w:top w:val="none" w:sz="0" w:space="0" w:color="auto"/>
                    <w:left w:val="none" w:sz="0" w:space="0" w:color="auto"/>
                    <w:bottom w:val="none" w:sz="0" w:space="0" w:color="auto"/>
                    <w:right w:val="none" w:sz="0" w:space="0" w:color="auto"/>
                  </w:divBdr>
                  <w:divsChild>
                    <w:div w:id="1379627612">
                      <w:marLeft w:val="0"/>
                      <w:marRight w:val="0"/>
                      <w:marTop w:val="0"/>
                      <w:marBottom w:val="0"/>
                      <w:divBdr>
                        <w:top w:val="none" w:sz="0" w:space="0" w:color="auto"/>
                        <w:left w:val="none" w:sz="0" w:space="0" w:color="auto"/>
                        <w:bottom w:val="none" w:sz="0" w:space="0" w:color="auto"/>
                        <w:right w:val="none" w:sz="0" w:space="0" w:color="auto"/>
                      </w:divBdr>
                      <w:divsChild>
                        <w:div w:id="1717074872">
                          <w:marLeft w:val="0"/>
                          <w:marRight w:val="0"/>
                          <w:marTop w:val="0"/>
                          <w:marBottom w:val="0"/>
                          <w:divBdr>
                            <w:top w:val="none" w:sz="0" w:space="0" w:color="auto"/>
                            <w:left w:val="none" w:sz="0" w:space="0" w:color="auto"/>
                            <w:bottom w:val="none" w:sz="0" w:space="0" w:color="auto"/>
                            <w:right w:val="none" w:sz="0" w:space="0" w:color="auto"/>
                          </w:divBdr>
                          <w:divsChild>
                            <w:div w:id="1258060291">
                              <w:marLeft w:val="0"/>
                              <w:marRight w:val="0"/>
                              <w:marTop w:val="0"/>
                              <w:marBottom w:val="0"/>
                              <w:divBdr>
                                <w:top w:val="none" w:sz="0" w:space="0" w:color="auto"/>
                                <w:left w:val="none" w:sz="0" w:space="0" w:color="auto"/>
                                <w:bottom w:val="none" w:sz="0" w:space="0" w:color="auto"/>
                                <w:right w:val="none" w:sz="0" w:space="0" w:color="auto"/>
                              </w:divBdr>
                            </w:div>
                          </w:divsChild>
                        </w:div>
                        <w:div w:id="13191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273497">
      <w:bodyDiv w:val="1"/>
      <w:marLeft w:val="0"/>
      <w:marRight w:val="0"/>
      <w:marTop w:val="0"/>
      <w:marBottom w:val="0"/>
      <w:divBdr>
        <w:top w:val="none" w:sz="0" w:space="0" w:color="auto"/>
        <w:left w:val="none" w:sz="0" w:space="0" w:color="auto"/>
        <w:bottom w:val="none" w:sz="0" w:space="0" w:color="auto"/>
        <w:right w:val="none" w:sz="0" w:space="0" w:color="auto"/>
      </w:divBdr>
      <w:divsChild>
        <w:div w:id="1515027000">
          <w:marLeft w:val="0"/>
          <w:marRight w:val="0"/>
          <w:marTop w:val="1080"/>
          <w:marBottom w:val="0"/>
          <w:divBdr>
            <w:top w:val="none" w:sz="0" w:space="0" w:color="auto"/>
            <w:left w:val="none" w:sz="0" w:space="0" w:color="auto"/>
            <w:bottom w:val="none" w:sz="0" w:space="0" w:color="auto"/>
            <w:right w:val="none" w:sz="0" w:space="0" w:color="auto"/>
          </w:divBdr>
          <w:divsChild>
            <w:div w:id="149366036">
              <w:marLeft w:val="0"/>
              <w:marRight w:val="0"/>
              <w:marTop w:val="0"/>
              <w:marBottom w:val="0"/>
              <w:divBdr>
                <w:top w:val="none" w:sz="0" w:space="0" w:color="auto"/>
                <w:left w:val="none" w:sz="0" w:space="0" w:color="auto"/>
                <w:bottom w:val="none" w:sz="0" w:space="0" w:color="auto"/>
                <w:right w:val="none" w:sz="0" w:space="0" w:color="auto"/>
              </w:divBdr>
              <w:divsChild>
                <w:div w:id="2009944690">
                  <w:marLeft w:val="0"/>
                  <w:marRight w:val="0"/>
                  <w:marTop w:val="0"/>
                  <w:marBottom w:val="0"/>
                  <w:divBdr>
                    <w:top w:val="none" w:sz="0" w:space="0" w:color="auto"/>
                    <w:left w:val="none" w:sz="0" w:space="0" w:color="auto"/>
                    <w:bottom w:val="none" w:sz="0" w:space="0" w:color="auto"/>
                    <w:right w:val="none" w:sz="0" w:space="0" w:color="auto"/>
                  </w:divBdr>
                  <w:divsChild>
                    <w:div w:id="8467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5524">
      <w:bodyDiv w:val="1"/>
      <w:marLeft w:val="0"/>
      <w:marRight w:val="0"/>
      <w:marTop w:val="0"/>
      <w:marBottom w:val="0"/>
      <w:divBdr>
        <w:top w:val="none" w:sz="0" w:space="0" w:color="auto"/>
        <w:left w:val="none" w:sz="0" w:space="0" w:color="auto"/>
        <w:bottom w:val="none" w:sz="0" w:space="0" w:color="auto"/>
        <w:right w:val="none" w:sz="0" w:space="0" w:color="auto"/>
      </w:divBdr>
      <w:divsChild>
        <w:div w:id="600336674">
          <w:marLeft w:val="0"/>
          <w:marRight w:val="0"/>
          <w:marTop w:val="1080"/>
          <w:marBottom w:val="0"/>
          <w:divBdr>
            <w:top w:val="none" w:sz="0" w:space="0" w:color="auto"/>
            <w:left w:val="none" w:sz="0" w:space="0" w:color="auto"/>
            <w:bottom w:val="none" w:sz="0" w:space="0" w:color="auto"/>
            <w:right w:val="none" w:sz="0" w:space="0" w:color="auto"/>
          </w:divBdr>
          <w:divsChild>
            <w:div w:id="778723438">
              <w:marLeft w:val="0"/>
              <w:marRight w:val="0"/>
              <w:marTop w:val="0"/>
              <w:marBottom w:val="0"/>
              <w:divBdr>
                <w:top w:val="none" w:sz="0" w:space="0" w:color="auto"/>
                <w:left w:val="none" w:sz="0" w:space="0" w:color="auto"/>
                <w:bottom w:val="none" w:sz="0" w:space="0" w:color="auto"/>
                <w:right w:val="none" w:sz="0" w:space="0" w:color="auto"/>
              </w:divBdr>
              <w:divsChild>
                <w:div w:id="556891473">
                  <w:marLeft w:val="0"/>
                  <w:marRight w:val="0"/>
                  <w:marTop w:val="0"/>
                  <w:marBottom w:val="0"/>
                  <w:divBdr>
                    <w:top w:val="none" w:sz="0" w:space="0" w:color="auto"/>
                    <w:left w:val="none" w:sz="0" w:space="0" w:color="auto"/>
                    <w:bottom w:val="none" w:sz="0" w:space="0" w:color="auto"/>
                    <w:right w:val="none" w:sz="0" w:space="0" w:color="auto"/>
                  </w:divBdr>
                  <w:divsChild>
                    <w:div w:id="1157259071">
                      <w:marLeft w:val="0"/>
                      <w:marRight w:val="0"/>
                      <w:marTop w:val="0"/>
                      <w:marBottom w:val="0"/>
                      <w:divBdr>
                        <w:top w:val="none" w:sz="0" w:space="0" w:color="auto"/>
                        <w:left w:val="none" w:sz="0" w:space="0" w:color="auto"/>
                        <w:bottom w:val="none" w:sz="0" w:space="0" w:color="auto"/>
                        <w:right w:val="none" w:sz="0" w:space="0" w:color="auto"/>
                      </w:divBdr>
                      <w:divsChild>
                        <w:div w:id="2042120716">
                          <w:marLeft w:val="0"/>
                          <w:marRight w:val="0"/>
                          <w:marTop w:val="0"/>
                          <w:marBottom w:val="0"/>
                          <w:divBdr>
                            <w:top w:val="none" w:sz="0" w:space="0" w:color="auto"/>
                            <w:left w:val="none" w:sz="0" w:space="0" w:color="auto"/>
                            <w:bottom w:val="none" w:sz="0" w:space="0" w:color="auto"/>
                            <w:right w:val="none" w:sz="0" w:space="0" w:color="auto"/>
                          </w:divBdr>
                          <w:divsChild>
                            <w:div w:id="114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832B-449C-48B0-9624-DB8B34DD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6349</Words>
  <Characters>36194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Organizzazione</Company>
  <LinksUpToDate>false</LinksUpToDate>
  <CharactersWithSpaces>42459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alberto.crivelli</dc:creator>
  <cp:lastModifiedBy>Alberto Crivelli</cp:lastModifiedBy>
  <cp:revision>6</cp:revision>
  <cp:lastPrinted>2017-10-12T11:26:00Z</cp:lastPrinted>
  <dcterms:created xsi:type="dcterms:W3CDTF">2017-11-13T07:30:00Z</dcterms:created>
  <dcterms:modified xsi:type="dcterms:W3CDTF">2017-11-19T20:00:00Z</dcterms:modified>
</cp:coreProperties>
</file>